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rFonts w:ascii="Cambria" w:hAnsi="Cambria" w:asciiTheme="minorHAnsi" w:hAnsiTheme="minorHAnsi"/>
          <w:b/>
          <w:color w:themeColor="text1" w:val="000000"/>
          <w:sz w:val="22"/>
          <w:lang w:val="ro-RO"/>
        </w:rPr>
      </w:pPr>
      <w:r>
        <w:rPr>
          <w:rFonts w:ascii="Cambria" w:hAnsi="Cambria" w:asciiTheme="minorHAnsi" w:hAnsiTheme="minorHAnsi"/>
          <w:b/>
          <w:color w:themeColor="text1" w:val="000000"/>
          <w:sz w:val="22"/>
          <w:lang w:val="ro-RO"/>
        </w:rPr>
        <w:t xml:space="preserve">PROIECT DE REGULAMENT </w:t>
      </w:r>
    </w:p>
    <w:p>
      <w:pPr>
        <w:pStyle w:val="Normal"/>
        <w:spacing w:lineRule="auto" w:line="276"/>
        <w:jc w:val="center"/>
        <w:rPr>
          <w:rFonts w:ascii="Cambria" w:hAnsi="Cambria" w:asciiTheme="minorHAnsi" w:hAnsiTheme="minorHAnsi"/>
          <w:color w:themeColor="text1" w:val="000000"/>
          <w:sz w:val="22"/>
          <w:lang w:val="ro-RO"/>
        </w:rPr>
      </w:pPr>
      <w:r>
        <w:rPr>
          <w:rFonts w:ascii="Cambria" w:hAnsi="Cambria" w:asciiTheme="minorHAnsi" w:hAnsiTheme="minorHAnsi"/>
          <w:b/>
          <w:color w:themeColor="text1" w:val="000000"/>
          <w:sz w:val="22"/>
          <w:lang w:val="ro-RO"/>
        </w:rPr>
        <w:t xml:space="preserve">PENTRU ORGANIZARE ȘI FUNCȚIONARE FILIALEI CLUJ A CGR </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I - DISPOZIȚII GENERALE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 - Temeiul juridic și obiectul regulamentului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Prezentul regulament stabilește organizarea și funcționarea Filialei </w:t>
      </w:r>
      <w:r>
        <w:rPr>
          <w:rFonts w:ascii="Cambria" w:hAnsi="Cambria" w:asciiTheme="minorHAnsi" w:hAnsiTheme="minorHAnsi"/>
          <w:color w:themeColor="text1" w:val="000000"/>
          <w:sz w:val="22"/>
        </w:rPr>
        <w:t>Cluj</w:t>
      </w:r>
      <w:r>
        <w:rPr>
          <w:rFonts w:ascii="Cambria" w:hAnsi="Cambria" w:asciiTheme="minorHAnsi" w:hAnsiTheme="minorHAnsi"/>
          <w:color w:themeColor="text1" w:val="000000"/>
          <w:sz w:val="22"/>
          <w:lang w:val="ro-RO"/>
        </w:rPr>
        <w:t>, denumită în continuare filiala, raporturile acesteia cu Colegiul Geodezilor din România, denumit în continuare CGR, precum și raporturile filialei cu membrii CGR aflați în evidența sa.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Regulamentul se întemeiază pe Legea nr. 267/2024 privind organizarea, exercitarea profesiei de geodez, precum și înființarea Colegiului Geodezilor din România, pe Regulamentul privind organizarea și funcționarea CGR și de exercitare a profesiei de geodez, pe Regulamentul-cadru privind înființarea, organizarea și funcționarea filialelor teritoriale și pe hotărârile obligatorii ale organelor de conducere ale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 - Statutul juridic</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este structură teritorială a CGR, cu personalitate juridică de drept privat, nonprofit și apolitică, având patrimoniu și buget proprii, în limitele și condițiile stabilite de actele ierarhic superioare.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reprezintă CGR la nivel teritorial și exercită numai atribuțiile conferite prin lege, Regulamentul CGR, Regulamentul-cadru, hotărârile organelor naționale și prezentul regulament.</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 - Denumirea, sediul și aria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Denumirea este „</w:t>
      </w:r>
      <w:r>
        <w:rPr>
          <w:rFonts w:ascii="Cambria" w:hAnsi="Cambria" w:asciiTheme="minorHAnsi" w:hAnsiTheme="minorHAnsi"/>
          <w:i/>
          <w:iCs/>
          <w:color w:themeColor="text1" w:val="000000"/>
          <w:sz w:val="22"/>
          <w:lang w:val="ro-RO"/>
        </w:rPr>
        <w:t xml:space="preserve">Filiala </w:t>
      </w:r>
      <w:r>
        <w:rPr>
          <w:rFonts w:ascii="Cambria" w:hAnsi="Cambria" w:asciiTheme="minorHAnsi" w:hAnsiTheme="minorHAnsi"/>
          <w:i/>
          <w:iCs/>
          <w:color w:themeColor="text1" w:val="000000"/>
          <w:sz w:val="22"/>
        </w:rPr>
        <w:t>Cluj</w:t>
      </w:r>
      <w:r>
        <w:rPr>
          <w:rFonts w:ascii="Cambria" w:hAnsi="Cambria" w:asciiTheme="minorHAnsi" w:hAnsiTheme="minorHAnsi"/>
          <w:i/>
          <w:iCs/>
          <w:color w:themeColor="text1" w:val="000000"/>
          <w:sz w:val="22"/>
          <w:lang w:val="ro-RO"/>
        </w:rPr>
        <w:t xml:space="preserve"> a Colegiului Geodezilor din România”.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Schimbarea sediului se aprobă de conferința teritorială, potrivit Regulamentului-cadru, și se comunică fără întârziere CGR și autorităților competente.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 - Principiile de funcționare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Filiala funcționează pe baza legalității, autonomiei funcționale în limitele competențelor atribuite, transparenței, reprezentativității, egalității membrilor, responsabilității, protecției interesului public, colaborării loiale cu CGR și respectării caracterului unitar al corpului profesional.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 - Ierarhia actelor aplicabile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În activitatea filialei organele de conducere adoptă hotărâri respectiv decizii având în vedere, în ordine, legea, Regulamentul CGR, Codul deontologic, Regulamentul-cadru, hotărârile Conferinței naționale, ale Consiliului național și ale Colegiului director al CGR.</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II - ATRIBUȚIILE FILIALEI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6. - Atribuții generale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Filiala exercită, în principal, următoarele atribuții:</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protejează și promovează drepturile profesionale ale geodezilor;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urmărește exercitarea competentă și calificată a profesiei;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reprezintă interesele membrilor în raporturile cu autoritățile și instituțiile locale;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asigură informarea și îndrumarea membrilor;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pune în executare actele organelor naționale;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contribuie la pregătirea profesională continuă; </w:t>
      </w:r>
    </w:p>
    <w:p>
      <w:pPr>
        <w:pStyle w:val="ListParagraph"/>
        <w:numPr>
          <w:ilvl w:val="0"/>
          <w:numId w:val="7"/>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organizează manifestări profesionale, științifice și culturale.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7. - Atribuții privind evidențele profesionale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înscrie în evidențele proprii membrii CGR care au domiciliul în aria sa teritorială, pe baza comunicării CGR sau a documentelor oficiale care atestă situația juridică a persoanei.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gestionează baza de date a membrilor aflați în evidență, registrul teritorial, registrul stagiarilor, evidența sancțiunilor disciplinare și evidența lucrărilor depuse pentru dobândirea datei certe, potrivit reglementărilor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comunică CGR datele necesare gestionării și publicării Registrului național al geodezilor, în termenele și formatul stabilite de actele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Filiala eliberează ori remite membrilor documentele emise de CGR, în limitele procedurilor aprobate la nivel național.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8. - Atribuții privind formele de exercitare a profesiei și persoanele juridice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exercită atribuțiile de primire, verificare, aprobare sau luare în evidență a cererilor privind formele de exercitare a profesiei, sediile profesionale și sediile secundare, numai în măsura și potrivit procedurilor stabilite prin Regulamentul CGR și hotărârile organelor naționale.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aprobă, în limitele competenței atribuite, înscrierea persoanelor juridice în Registrul național al geodezilor atunci când sediul acestora se află în aria sa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Orice operațiune cu efect asupra Registrului național se comunică CGR fără întârziere și nu poate produce efecte contrare evidenței naționale.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9. - Limitele competenței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Filiala nu acordă, nu retrage și nu modifică dreptul de semnătură, nu dobândește și nu încetează calitatea de membru al CGR și nu operează autonom Registrul național al geodezilor, cu excepția atribuțiilor procedurale sau de propunere expres conferite prin actele ierarhic superioare.</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III - MEMBRII CGR AFLAȚI ÎN EVIDENȚA FILIALEI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10. - Calitatea de membru și apartenența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Sunt membri ai CGR geodezii cu drept de semnătură înscriși în Registrul național al geodezilor. Calitatea de membru al CGR se dobândește la data acordării dreptului de semnătură.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Calitatea de membru al filialei nu constituie o calitate juridică distinctă de calitatea de membru al CGR. În sensul prezentului regulament, expresia „membru al filialei” desemnează membrul CGR aflat în evidența teritorială a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Fiecare membru al CGR este luat în evidența unei singure filiale, determinată de domiciliul său, în sensul </w:t>
      </w:r>
      <w:r>
        <w:rPr>
          <w:rFonts w:ascii="Cambria" w:hAnsi="Cambria" w:asciiTheme="minorHAnsi" w:hAnsiTheme="minorHAnsi"/>
          <w:b/>
          <w:bCs/>
          <w:color w:themeColor="text1" w:val="000000"/>
          <w:sz w:val="22"/>
          <w:lang w:val="ro-RO"/>
        </w:rPr>
        <w:t>art. 31</w:t>
      </w:r>
      <w:r>
        <w:rPr>
          <w:rFonts w:ascii="Cambria" w:hAnsi="Cambria" w:asciiTheme="minorHAnsi" w:hAnsiTheme="minorHAnsi"/>
          <w:color w:themeColor="text1" w:val="000000"/>
          <w:sz w:val="22"/>
          <w:lang w:val="ro-RO"/>
        </w:rPr>
        <w:t xml:space="preserve"> din Legea nr. 267/2024, interpretat potrivit </w:t>
      </w:r>
      <w:r>
        <w:rPr>
          <w:rFonts w:ascii="Cambria" w:hAnsi="Cambria" w:asciiTheme="minorHAnsi" w:hAnsiTheme="minorHAnsi"/>
          <w:b/>
          <w:bCs/>
          <w:color w:themeColor="text1" w:val="000000"/>
          <w:sz w:val="22"/>
          <w:lang w:val="ro-RO"/>
        </w:rPr>
        <w:t>art. 87-91</w:t>
      </w:r>
      <w:r>
        <w:rPr>
          <w:rFonts w:ascii="Cambria" w:hAnsi="Cambria" w:asciiTheme="minorHAnsi" w:hAnsiTheme="minorHAnsi"/>
          <w:color w:themeColor="text1" w:val="000000"/>
          <w:sz w:val="22"/>
          <w:lang w:val="ro-RO"/>
        </w:rPr>
        <w:t xml:space="preserve"> din Codul civil. În aplicarea prezentului regulament, domiciliul relevant este locul în care membrul își are locuința principală.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Domiciliul relevant pentru stabilirea apartenenței teritoriale se dovedește prin mențiunile privind domiciliul cuprinse în actul de identitate ori în datele înscrise electronic în acesta, printr-un document oficial de atestare a domiciliului sau, în condițiile alin. (5), prin mențiunea privind reședința și declarația membrului.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(5)</w:t>
      </w:r>
      <w:r>
        <w:rPr>
          <w:rFonts w:ascii="Cambria" w:hAnsi="Cambria" w:asciiTheme="minorHAnsi" w:hAnsiTheme="minorHAnsi"/>
          <w:color w:themeColor="text1" w:val="000000"/>
          <w:sz w:val="22"/>
          <w:lang w:val="ro-RO"/>
        </w:rPr>
        <w:t xml:space="preserve"> Dacă actul de identitate cuprinde o adresă de domiciliu și o adresă distinctă de reședință, membrul declară, pe propria răspundere, care dintre acestea reprezintă locul în care își are în fapt locuința principală. Atunci când locuința principală declarată corespunde reședinței înregistrate, apartenența teritorială se stabilește potrivit acestei adrese.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(6)</w:t>
      </w:r>
      <w:r>
        <w:rPr>
          <w:rFonts w:ascii="Cambria" w:hAnsi="Cambria" w:asciiTheme="minorHAnsi" w:hAnsiTheme="minorHAnsi"/>
          <w:color w:themeColor="text1" w:val="000000"/>
          <w:sz w:val="22"/>
          <w:lang w:val="ro-RO"/>
        </w:rPr>
        <w:t xml:space="preserve"> În situațiile în care mențiunile din actul de identitate nu corespund realității, domiciliul poate fi dovedit prin orice alte mijloace de probă admise de lege, potrivit </w:t>
      </w:r>
      <w:r>
        <w:rPr>
          <w:rFonts w:ascii="Cambria" w:hAnsi="Cambria" w:asciiTheme="minorHAnsi" w:hAnsiTheme="minorHAnsi"/>
          <w:b/>
          <w:bCs/>
          <w:color w:themeColor="text1" w:val="000000"/>
          <w:sz w:val="22"/>
          <w:lang w:val="ro-RO"/>
        </w:rPr>
        <w:t>art. 91</w:t>
      </w:r>
      <w:r>
        <w:rPr>
          <w:rFonts w:ascii="Cambria" w:hAnsi="Cambria" w:asciiTheme="minorHAnsi" w:hAnsiTheme="minorHAnsi"/>
          <w:color w:themeColor="text1" w:val="000000"/>
          <w:sz w:val="22"/>
          <w:lang w:val="ro-RO"/>
        </w:rPr>
        <w:t xml:space="preserve"> din Codul civil. Filiala poate solicita clarificări ori documente suplimentare numai dacă există neconcordanțe obiective între declarație, documentele prezentate și situația cunoscută.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(7)</w:t>
      </w:r>
      <w:r>
        <w:rPr>
          <w:rFonts w:ascii="Cambria" w:hAnsi="Cambria" w:asciiTheme="minorHAnsi" w:hAnsiTheme="minorHAnsi"/>
          <w:color w:themeColor="text1" w:val="000000"/>
          <w:sz w:val="22"/>
          <w:lang w:val="ro-RO"/>
        </w:rPr>
        <w:t xml:space="preserve"> Locul de muncă, sediul profesional, sediul angajatorului, locul în care membrul își exercită în mod obișnuit profesia și alte împrejurări similare pot fi avute în vedere pentru confirmarea caracterului principal și statornic al locuinței declarate, fără a constitui, prin ele însele, criterii autonome de apartenență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(8)</w:t>
      </w:r>
      <w:r>
        <w:rPr>
          <w:rFonts w:ascii="Cambria" w:hAnsi="Cambria" w:asciiTheme="minorHAnsi" w:hAnsiTheme="minorHAnsi"/>
          <w:color w:themeColor="text1" w:val="000000"/>
          <w:sz w:val="22"/>
          <w:lang w:val="ro-RO"/>
        </w:rPr>
        <w:t xml:space="preserve"> Filiala nu poate refuza luarea în evidență pentru simplul motiv că locuința principală declarată este înscrisă în actul de identitate ca reședință, iar nu ca domiciliu, dacă declarația este susținută de documentele și împrejurările prevăzute de prezentul articol.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(9)</w:t>
      </w:r>
      <w:r>
        <w:rPr>
          <w:rFonts w:ascii="Cambria" w:hAnsi="Cambria" w:asciiTheme="minorHAnsi" w:hAnsiTheme="minorHAnsi"/>
          <w:color w:themeColor="text1" w:val="000000"/>
          <w:sz w:val="22"/>
          <w:lang w:val="ro-RO"/>
        </w:rPr>
        <w:t xml:space="preserve"> Alegerea domiciliului relevant nu poate fi exercitată abuziv, conjunctural ori exclusiv în scop electoral. Schimbarea apartenenței teritoriale presupune declararea unei schimbări reale a locuinței principale și produce efecte numai pentru viitor, de la data înregistrării sau confirmării acesteia.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(10)</w:t>
      </w:r>
      <w:r>
        <w:rPr>
          <w:rFonts w:ascii="Cambria" w:hAnsi="Cambria" w:asciiTheme="minorHAnsi" w:hAnsiTheme="minorHAnsi"/>
          <w:color w:themeColor="text1" w:val="000000"/>
          <w:sz w:val="22"/>
          <w:lang w:val="ro-RO"/>
        </w:rPr>
        <w:t xml:space="preserve"> Aplicarea prezentului articol se realizează cu respectarea principiilor legalității, proporționalității, bunei-credințe, minimizării datelor și facilitării participării efective a membrilor la viața profesională a filialei.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11. - Luarea inițială în evidență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Luarea în evidență este o operațiune administrativă subsecventă dobândirii calității de membru al CGR. </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Luarea în evidență se face din oficiu, pe baza comunicării transmise de structura competentă a CGR privind înscrierea în Registrul național, ori, în lipsa temporară a comunicării, la cererea persoanei care prezintă un extras sau o confirmare oficială a situației sale în Registrul național. Comunicarea CGR va cuprinde numai datele necesare evidenței teritoriale, extrasul relevant din Registrul național și actul prin care a fost stabilită situația profesională; dosarul integral depus pentru dobândirea dreptului de semnătură nu se transmite filialei, în afara cazurilor justificate de o atribuție legală concretă.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verifică identitatea, domiciliul relevant stabilit potrivit </w:t>
      </w:r>
      <w:r>
        <w:rPr>
          <w:rFonts w:ascii="Cambria" w:hAnsi="Cambria" w:asciiTheme="minorHAnsi" w:hAnsiTheme="minorHAnsi"/>
          <w:b/>
          <w:bCs/>
          <w:color w:themeColor="text1" w:val="000000"/>
          <w:sz w:val="22"/>
          <w:lang w:val="ro-RO"/>
        </w:rPr>
        <w:t>art. 10</w:t>
      </w:r>
      <w:r>
        <w:rPr>
          <w:rFonts w:ascii="Cambria" w:hAnsi="Cambria" w:asciiTheme="minorHAnsi" w:hAnsiTheme="minorHAnsi"/>
          <w:color w:themeColor="text1" w:val="000000"/>
          <w:sz w:val="22"/>
          <w:lang w:val="ro-RO"/>
        </w:rPr>
        <w:t xml:space="preserve"> și datele de contact, deschide dosarul administrativ al membrului și operează luarea în evidență fără întârziere. Verificarea are caracter administrativ și nu poate impune sarcini disproporționate. Membrului i se comunică confirmarea operațiunii și datele de contact ale filialei, de regulă în cel mult 5 zile lucrătoare de la primirea unei comunicări complete.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12. - Documentele și datele necesare evidenței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Pentru luarea și menținerea în evidență, în Registrul de evidență al membrilor, se utilizează numai datele adecvate, relevante și necesare: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numele și prenumele;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numărul unic din Registrul național;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data dobândirii calității de membru;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categoria sau categoriile dreptului de semnătură;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numărul și data actului relevant;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datele de contact;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domiciliul relevant și localitatea;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temeiul probator utilizat pentru stabilirea acestuia, fără păstrarea unor copii nenecesare;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situația calității de membru și a dreptului de semnătură;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data și temeiul suspendării, încetării ori modificării;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data ultimei actualizări;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persoana care a efectuat operațiunea;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forma de exercitare declarată, </w:t>
      </w:r>
    </w:p>
    <w:p>
      <w:pPr>
        <w:pStyle w:val="ListParagraph"/>
        <w:numPr>
          <w:ilvl w:val="0"/>
          <w:numId w:val="8"/>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situația cotizațiilor și alte date prevăzute expres de reglementările CGR. </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Registrul teritorial nu cuprinde codul numeric personal, copii ale actelor de identitate ori alte date nenecesare, cu excepția cazurilor impuse expres de lege.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solicită numai date adecvate, relevante și limitate la ceea ce este necesar pentru îndeplinirea atribuțiilor sale.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Lipsa unor date care nu afectează identificarea persoanei, stabilirea rezonabilă a domiciliului relevant sau statutul profesional nu suspendă luarea în evidență, urmând a fi completate ulterior.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13. - Schimbarea locuinței principale și transferul evidenței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Membrul are obligația să comunice în scris, în termen de 30 de zile, schimbarea locuinței principale care determină modificarea domiciliului relevant, direct CGR sau prin filiala în evidența căreia figurează, anexând documentele ori declarația corespunzătoare situației sale.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Dacă noul domiciliu relevant se află în aria altei filiale, transferul evidenței se realizează administrativ, pe baza declarației și dovezilor prevăzute la </w:t>
      </w:r>
      <w:r>
        <w:rPr>
          <w:rFonts w:ascii="Cambria" w:hAnsi="Cambria" w:asciiTheme="minorHAnsi" w:hAnsiTheme="minorHAnsi"/>
          <w:b/>
          <w:bCs/>
          <w:color w:themeColor="text1" w:val="000000"/>
          <w:sz w:val="22"/>
          <w:lang w:val="ro-RO"/>
        </w:rPr>
        <w:t>art. 10</w:t>
      </w:r>
      <w:r>
        <w:rPr>
          <w:rFonts w:ascii="Cambria" w:hAnsi="Cambria" w:asciiTheme="minorHAnsi" w:hAnsiTheme="minorHAnsi"/>
          <w:color w:themeColor="text1" w:val="000000"/>
          <w:sz w:val="22"/>
          <w:lang w:val="ro-RO"/>
        </w:rPr>
        <w:t>, a actualizării operate ori confirmate în evidența națională și a comunicării structurii competente a CGR. Transferul nu este o nouă admitere în CGR ori în filială și nu este condiționat de acceptarea discreționară a filialei de destinație.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de origine transmite filialei de destinație și CGR, în cel mult 10 zile lucrătoare, extrasul de evidență, situația cotizațiilor și numai documentele administrative necesare continuității evidenței, printr-un mijloc care permite verificarea expeditorului, integritatea documentelor, confirmarea primirii și trasabilitatea operațiunii.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Filiala de destinație confirmă luarea în evidență de la data operării ori confirmării schimbării domiciliului relevant în evidența națională. Continuitatea calității de membru al CGR și a dreptului de semnătură nu este afectată de transfer.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(5)</w:t>
      </w:r>
      <w:r>
        <w:rPr>
          <w:rFonts w:ascii="Cambria" w:hAnsi="Cambria" w:asciiTheme="minorHAnsi" w:hAnsiTheme="minorHAnsi"/>
          <w:color w:themeColor="text1" w:val="000000"/>
          <w:sz w:val="22"/>
          <w:lang w:val="ro-RO"/>
        </w:rPr>
        <w:t xml:space="preserve"> Eventualele debite față de filiala de origine se evidențiază distinct și se soluționează între membru și filiala creditoare; ele nu împiedică transferul evidenței.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(6)</w:t>
      </w:r>
      <w:r>
        <w:rPr>
          <w:rFonts w:ascii="Cambria" w:hAnsi="Cambria" w:asciiTheme="minorHAnsi" w:hAnsiTheme="minorHAnsi"/>
          <w:color w:themeColor="text1" w:val="000000"/>
          <w:sz w:val="22"/>
          <w:lang w:val="ro-RO"/>
        </w:rPr>
        <w:t xml:space="preserve"> Cererea de transfer se soluționează cu celeritate și cu respectarea principiului proporționalității. Filialele nu pot solicita documente aflate deja în evidența CGR și nu pot condiționa transferul de prezența fizică a membrului, de achitarea unor taxe neprevăzute sau de alte formalități fără temei în actele superioare.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14. - Situația membrilor din filiale interjudețene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În filialele care cuprind mai multe județe limitrofe, membrii rămân evidențiați și pe județul domiciliului relevant stabilit potrivit art. 10, pentru asigurarea reprezentativității teritoriale.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garantează reprezentarea fiecărui județ component în organele și delegațiile sale, în condițiile legii și ale Regulamentului-cadru.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Înființarea unei filiale distincte ca urmare a atingerii pragului legal determină transferul evidenței membrilor al căror domiciliu relevant se află în județul respectiv, după finalizarea procedurii de constituire și luare în evidență a noii filiale de către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15. - Stagiarii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Geodezii stagiari nu au calitatea de membri ai CGR până la dobândirea dreptului de semnătură, dar sunt înscriși în registrul stagiarilor și beneficiază de activitățile de îndrumare și pregătire stabilite de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Evidența stagiarului se ține, de regulă, de filiala corespunzătoare locuinței sale principale declarate. Detașarea administrativă temporară la filiala în care se efectuează stagiul poate fi aprobată cu acordul filialelor implicate, fără a anticipa ori condiționa viitoarea apartenență teritorială ca membru.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coordonează întocmirea și transmiterea dosarelor de stagiu către structurile competente ale CGR, fără a substitui competența acestora de acordare a dreptului de semnătură.</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16. - Drepturile membrilor în raport cu filiala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Membrii aflați în evidența filialei au dreptul: să participe la activitățile și conferințele teritoriale; să aleagă și să fie aleși, dacă îndeplinesc condițiile legale; să fie informați asupra activității și situației financiare; să formuleze propuneri și amendamente; să primească îndrumare; să consulte documentele cu caracter public sau destinate membrilor; să beneficieze de programe de pregătire profesională și de celelalte drepturi recunoscute prin actele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17. - Obligațiile membrilor în raport cu filiala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Membrii aflați în evidență au obligația: să respecte legea, actele CGR și actele legale ale filialei; să achite cotizațiile și taxele legal stabilite; să comunice modificările datelor în termen de 30 de zile; să participe la lucrările organelor în care au fost aleși sau desemnați; să contribuie la pregătirea profesională; să protejeze prestigiul profesiei și al CGR; să comunice pierderea instrumentelor profesionale și să respecte măsurile dispuse în caz de suspendare sau încetare.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18. - Dreptul de vot</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Au drept de vot membrii aflați în evidența filialei care au calitatea de membru activ și cotizația achitată la zi, potrivit actelor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Suspendarea calității de membru al CGR suspendă, în mod corespunzător, drepturile de participare și vot în filială.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Listele electorale se întocmesc pe baza evidenței filialei și se verifică prin raportare la Registrul național și la situația cotizațiilor.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19. - Suspendarea și încetarea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Suspendarea și încetarea calității de membru al CGR se dispun numai de organele competente prevăzute de Regulamentul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primește, comunică și execută actele emise de organele competente, actualizează evidențele teritoriale și transmite CGR informațiile necesare.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Pe durata suspendării, persoana rămâne înscrisă în evidență cu mențiunea corespunzătoare, fără a fi radiată din evidența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Încetarea calității de membru al CGR atrage scoaterea din evidența membrilor activi ai filialei, cu păstrarea documentelor în arhivă potrivit nomenclatorului arhivistic.</w:t>
      </w:r>
    </w:p>
    <w:p>
      <w:pPr>
        <w:pStyle w:val="Normal"/>
        <w:spacing w:lineRule="auto" w:line="276"/>
        <w:ind w:left="142"/>
        <w:jc w:val="both"/>
        <w:rPr>
          <w:rFonts w:ascii="Cambria" w:hAnsi="Cambria" w:asciiTheme="minorHAnsi" w:hAnsiTheme="minorHAnsi"/>
          <w:color w:themeColor="text1" w:val="000000"/>
          <w:sz w:val="22"/>
          <w:lang w:val="ro-RO"/>
        </w:rPr>
      </w:pPr>
      <w:r>
        <w:rPr>
          <w:rFonts w:asciiTheme="minorHAnsi" w:hAnsiTheme="minorHAnsi" w:ascii="Cambria" w:hAnsi="Cambria"/>
          <w:color w:themeColor="text1" w:val="000000"/>
          <w:sz w:val="22"/>
          <w:lang w:val="ro-RO"/>
        </w:rPr>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IV - EVIDENȚE, REGISTRE ȘI PROTECȚIA DATELOR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20. - Baza de date a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constituie și gestionează o bază de date generală și o secțiune publică, în conformitate cu regulamentele și standardele tehnice aprobate de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Secțiunea publică cuprinde numai informațiile declarate publice prin lege, Regulamentul CGR sau hotărârile competente.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Orice neconcordanță între evidența teritorială și Registrul național se comunică imediat structurii competente a CGR; până la clarificare, se aplică mențiunile din Registrul național și actele organului competent.</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21. - Registrul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Registrul teritorial reprezintă evidența administrativă a membrilor CGR al căror domiciliu relevant, stabilit potrivit </w:t>
      </w:r>
      <w:r>
        <w:rPr>
          <w:rFonts w:ascii="Cambria" w:hAnsi="Cambria" w:asciiTheme="minorHAnsi" w:hAnsiTheme="minorHAnsi"/>
          <w:b/>
          <w:bCs/>
          <w:color w:themeColor="text1" w:val="000000"/>
          <w:sz w:val="22"/>
          <w:lang w:val="ro-RO"/>
        </w:rPr>
        <w:t>art. 10</w:t>
      </w:r>
      <w:r>
        <w:rPr>
          <w:rFonts w:ascii="Cambria" w:hAnsi="Cambria" w:asciiTheme="minorHAnsi" w:hAnsiTheme="minorHAnsi"/>
          <w:color w:themeColor="text1" w:val="000000"/>
          <w:sz w:val="22"/>
          <w:lang w:val="ro-RO"/>
        </w:rPr>
        <w:t>, se află în aria filialei și nu substituie Registrul național al geodezilor. El nu conferă, nu modifică, nu suspendă și nu stinge calitatea de membru ori dreptul de semnătură.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Registrul teritorial evidențiază distinct membrii activi, membrii suspendați, stagiarii și, după caz, persoanele juridice și formele de exercitare aflate în competența filialei. Înscrierile se efectuează în ordine cronologică, cu indicarea datei și a persoanei care a efectuat operațiunea.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Colegiul director teritorial verifică anual datele și le transmite CGR la termenele stabilite prin actele ierarhic superioare.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22. - Accesul la informații și certificatele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 xml:space="preserve">(1) </w:t>
      </w:r>
      <w:r>
        <w:rPr>
          <w:rFonts w:ascii="Cambria" w:hAnsi="Cambria" w:asciiTheme="minorHAnsi" w:hAnsiTheme="minorHAnsi"/>
          <w:color w:themeColor="text1" w:val="000000"/>
          <w:sz w:val="22"/>
          <w:lang w:val="ro-RO"/>
        </w:rPr>
        <w:t>Filiala furnizează persoanelor interesate informațiile publice din Registrul național și din evidențele teritoriale, cu respectarea limitelor legale.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La cererea persoanei înscrise, filiala poate elibera certificate sau extrase privind datele aflate în evidența sa, dacă această competență rezultă din lege sau din procedurile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Documentele eliberate de filială nu pot confirma un drept de semnătură diferit de cel înscris în Registrul național.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23. - Protecția datelor și confidențialitatea</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 xml:space="preserve">(1) </w:t>
      </w:r>
      <w:r>
        <w:rPr>
          <w:rFonts w:ascii="Cambria" w:hAnsi="Cambria" w:asciiTheme="minorHAnsi" w:hAnsiTheme="minorHAnsi"/>
          <w:color w:themeColor="text1" w:val="000000"/>
          <w:sz w:val="22"/>
          <w:lang w:val="ro-RO"/>
        </w:rPr>
        <w:t>Prelucrarea datelor cu caracter personal se realizează în conformitate cu Regulamentul (UE) 2016/679, legislația națională și politicile CGR.</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Persoanele care gestionează evidențele sunt autorizate expres, au obligația confidențialității și utilizează datele numai în scop profesional.</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 xml:space="preserve">(3) </w:t>
      </w:r>
      <w:r>
        <w:rPr>
          <w:rFonts w:ascii="Cambria" w:hAnsi="Cambria" w:asciiTheme="minorHAnsi" w:hAnsiTheme="minorHAnsi"/>
          <w:color w:themeColor="text1" w:val="000000"/>
          <w:sz w:val="22"/>
          <w:lang w:val="ro-RO"/>
        </w:rPr>
        <w:t>Colegiul director teritorial desemnează prin hotărâre una sau mai multe persoane responsabile cu registrul teritorial. Actul de desemnare stabilește atribuțiile, durata, nivelul drepturilor de acces, obligația de confidențialitate și obligația de predare a evidențelor la încetarea atribuțiilor.</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Registrul electronic trebuie să asigure identificarea utilizatorilor, limitarea accesului potrivit atribuțiilor, jurnalizarea operațiunilor, păstrarea istoricului modificărilor, copii de siguranță și măsuri adecvate de securitate. În evidența letrică, corectarea erorilor se face fără înlăturarea mențiunii inițiale, prin barare, înscrierea datelor corecte, datarea și semnarea corecturii.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(5)</w:t>
      </w:r>
      <w:r>
        <w:rPr>
          <w:rFonts w:ascii="Cambria" w:hAnsi="Cambria" w:asciiTheme="minorHAnsi" w:hAnsiTheme="minorHAnsi"/>
          <w:color w:themeColor="text1" w:val="000000"/>
          <w:sz w:val="22"/>
          <w:lang w:val="ro-RO"/>
        </w:rPr>
        <w:t xml:space="preserve"> La încetarea sau preluarea temporară a atribuțiilor persoanei responsabile, registrul, documentele și drepturile de acces se predau prin proces-verbal, iar accesul fostului responsabil se retrage cel târziu la data predării.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(6)</w:t>
      </w:r>
      <w:r>
        <w:rPr>
          <w:rFonts w:ascii="Cambria" w:hAnsi="Cambria" w:asciiTheme="minorHAnsi" w:hAnsiTheme="minorHAnsi"/>
          <w:color w:themeColor="text1" w:val="000000"/>
          <w:sz w:val="22"/>
          <w:lang w:val="ro-RO"/>
        </w:rPr>
        <w:t xml:space="preserve"> Deteriorarea, pierderea, distrugerea ori accesarea neautorizată a registrului sau a documentelor aferente se raportează de îndată președintelui filialei, colegiului director teritorial și structurii competente a CGR. Reconstituirea se realizează prin raportare la Registrul național și la documentele păstrate legal, fără modificarea situației juridice a membrilor.</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(7)</w:t>
      </w:r>
      <w:r>
        <w:rPr>
          <w:rFonts w:ascii="Cambria" w:hAnsi="Cambria" w:asciiTheme="minorHAnsi" w:hAnsiTheme="minorHAnsi"/>
          <w:color w:themeColor="text1" w:val="000000"/>
          <w:sz w:val="22"/>
          <w:lang w:val="ro-RO"/>
        </w:rPr>
        <w:t xml:space="preserve"> Transmiterea documentelor între filiale sau către CGR se face prin mijloace care asigură identificarea expeditorului, integritatea, confidențialitatea, confirmarea primirii și trasabilitatea.</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(8)</w:t>
      </w:r>
      <w:r>
        <w:rPr>
          <w:rFonts w:ascii="Cambria" w:hAnsi="Cambria" w:asciiTheme="minorHAnsi" w:hAnsiTheme="minorHAnsi"/>
          <w:color w:themeColor="text1" w:val="000000"/>
          <w:sz w:val="22"/>
          <w:lang w:val="ro-RO"/>
        </w:rPr>
        <w:t xml:space="preserve"> Termenele de păstrare și arhivare se stabilesc prin nomenclatorul arhivistic și reglementările CGR.</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V - ORGANELE DE CONDUCERE ȘI CONTROL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24. - Organele filialei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Organele de conducere ale filialei sunt: </w:t>
      </w:r>
    </w:p>
    <w:p>
      <w:pPr>
        <w:pStyle w:val="ListParagraph"/>
        <w:numPr>
          <w:ilvl w:val="0"/>
          <w:numId w:val="9"/>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conferința teritorială, </w:t>
      </w:r>
    </w:p>
    <w:p>
      <w:pPr>
        <w:pStyle w:val="ListParagraph"/>
        <w:numPr>
          <w:ilvl w:val="0"/>
          <w:numId w:val="9"/>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consiliul teritorial, </w:t>
      </w:r>
    </w:p>
    <w:p>
      <w:pPr>
        <w:pStyle w:val="ListParagraph"/>
        <w:numPr>
          <w:ilvl w:val="0"/>
          <w:numId w:val="9"/>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colegiul director teritorial;</w:t>
      </w:r>
    </w:p>
    <w:p>
      <w:pPr>
        <w:pStyle w:val="ListParagraph"/>
        <w:numPr>
          <w:ilvl w:val="0"/>
          <w:numId w:val="9"/>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președintele filialei. </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La nivelul filialei funcționează comisia teritorială de disciplină și comisia de cenzori, potrivit actelor aplicabile.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25. - Mandatele și incompatibilitățile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Mandatul persoanelor alese este de 4 ani, fără posibilitatea exercitării a mai mult de două mandate consecutive în aceeași funcție.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 xml:space="preserve">(2) </w:t>
      </w:r>
      <w:r>
        <w:rPr>
          <w:rFonts w:ascii="Cambria" w:hAnsi="Cambria" w:asciiTheme="minorHAnsi" w:hAnsiTheme="minorHAnsi"/>
          <w:color w:themeColor="text1" w:val="000000"/>
          <w:sz w:val="22"/>
          <w:lang w:val="ro-RO"/>
        </w:rPr>
        <w:t>Condițiile de eligibilitate, incompatibilitățile, decăderea și revocarea sunt cele stabilite de Regulamentul CGR și Regulamentul-cadru.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Funcțiile se exercită cu respectarea obligației de abținere în caz de conflict de interese.</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SECȚIUNEA 1 - Conferința teritorială</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26. - Componența și tipurile de ședințe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Conferința teritorială este alcătuită din toți membrii CGR aflați în evidența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Conferința ordinară se întrunește o dată la 2 ani. Conferința extraordinară se convoacă în cazurile prevăzute de Regulamentul-cadru sau când interesele filialei o impun.</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Conferința se poate desfășura cu participare fizică, online sau în sistem mixt, dacă identificarea participanților, caracterul secret al votului unde este necesar și trasabilitatea deliberărilor sunt asigurate.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27. - Convocarea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Convocarea se aprobă de consiliul teritorial și se comunică membrilor cu cel puțin 10 zile înainte, prin mijloace care permit dovedirea transmiterii.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Convocarea indică data, ora, modalitatea și locul desfășurării, ordinea de zi, documentele supuse aprobării, funcțiile și comisiile pentru care se organizează alegeri, termenul candidaturilor și termenul amendamentelor.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Documentele finale și listele prevăzute de Regulamentul-cadru se comunică membrilor cu cel puțin 7 zile înainte.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28. - Cvorumul și adoptarea hotărârilor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La prima convocare, conferința este legal constituită în prezența majorității simple a membrilor cu drept de vot.</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Dacă nu se întrunește cvorumul, a doua convocare are loc după cel puțin 7 zile și este legal constituită în prezența a cel puțin unei treimi din membrii cu drept de vot, dar nu mai puțin de 25 de membri. Pentru filialele cu exact 25-49 de membri, este necesară prezența a cel puțin 25 de membri.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Hotărârile se adoptă cu majoritatea simplă a membrilor prezenți, cu excepțiile prevăzute de lege sau de actele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Alegerile și revocările se realizează prin vot secret, în condițiile legii. Pentru celelalte hotărâri votul este deschis, dacă plenul nu decide altfel.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29. - Atribuțiile conferinței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Conferința teritorială are următoarele atribuții:</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adoptă și modifică regulamentul filialei după avizul prealabil al Colegiului director al CGR; </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alege și revocă președintele, membrii consiliului teritorial și membrii comisiilor; </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desemnează delegații la Conferința națională și candidații propuși pentru Consiliul național; </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aprobă organigrama, bugetul anual, execuția bugetară și rapoartele; </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hotărăște asupra reorganizării sau desființării; </w:t>
      </w:r>
    </w:p>
    <w:p>
      <w:pPr>
        <w:pStyle w:val="ListParagraph"/>
        <w:numPr>
          <w:ilvl w:val="0"/>
          <w:numId w:val="10"/>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adoptă hotărâri asupra problemelor de pe ordinea de zi.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30. - Consultarea proiectelor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Proiectele de acte cu caracter general se publică sau se comunică membrilor pentru consultare, de regulă pentru 10 zile calendaristice.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Amendamentele se formulează în scris, sunt motivate și semnate. Autorii amendamentelor respinse sunt informați asupra motivelor respingerii și pot solicita susținerea lor în conferință.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Procedura de consultare nu se aplică măsurilor individuale, situațiilor de urgență sau documentelor confidențiale.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31. - Alegerile</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Pregătirea alegerilor este asigurată de un comitet de organizare, iar verificarea și numărarea voturilor de o comisie distinctă, desemnată de plenul conferinței. Membrii comisiei de verificare și numărare a voturilor nu pot candida la funcțiile, organele, comisiile ori mandatele supuse alegerii. Membrii comitetului de organizare pot candida numai cu respectarea imparțialității, egalității de tratament și a obligației de abținere de la verificarea propriei candidaturi sau de la orice operațiune susceptibilă să le procure un avantaj.</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Candidaturile sunt individuale și se depun în termenul stabilit, însoțite de documentele cerute de Regulamentul CGR și Regulamentul-cadru.</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Comitetul de organizare are atribuții exclusiv tehnice, administrative și pregătitoare: primește și înregistrează candidaturile; verifică existența documentelor, fără a introduce condiții suplimentare de eligibilitate; comunică lipsurile; publică lista candidaturilor; pregătește tabelul alegătorilor, materialele electorale și înregistrarea participanților; predă materialele comisiei de verificare și numărare a voturilor pe bază de proces-verbal; întocmește un raport anexat procesului-verbal al conferinței.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Comitetul de organizare nu poate exercita atribuțiile conferinței teritoriale, ale prezidiului, ale secretariatului conferinței ori ale comisiei de verificare și numărare a voturilor și nu poate modifica regulile de eligibilitate sau de vot.</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(5)</w:t>
      </w:r>
      <w:r>
        <w:rPr>
          <w:rFonts w:ascii="Cambria" w:hAnsi="Cambria" w:asciiTheme="minorHAnsi" w:hAnsiTheme="minorHAnsi"/>
          <w:color w:themeColor="text1" w:val="000000"/>
          <w:sz w:val="22"/>
          <w:lang w:val="ro-RO"/>
        </w:rPr>
        <w:t xml:space="preserve"> Tabelul membrilor cu drept de vot se întocmește pe baza registrului teritorial, verificat prin raportare la Registrul național și la situația cotizațiilor. Persoanele care dobândesc calitatea de membru după întocmirea tabelului, dar înainte de deschiderea conferinței și constatarea cvorumului, se înscriu într-un tabel suplimentar dacă îndeplinesc toate condițiile regulamentare. După constatarea cvorumului, corpul electoral nu mai poate fi modificat.</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(6)</w:t>
      </w:r>
      <w:r>
        <w:rPr>
          <w:rFonts w:ascii="Cambria" w:hAnsi="Cambria" w:asciiTheme="minorHAnsi" w:hAnsiTheme="minorHAnsi"/>
          <w:color w:themeColor="text1" w:val="000000"/>
          <w:sz w:val="22"/>
          <w:lang w:val="ro-RO"/>
        </w:rPr>
        <w:t xml:space="preserve"> Procedura de vot, validarea buletinelor, majoritățile și departajarea se realizează potrivit Regulamentului CGR și Regulamentului-cadru. Prezentul regulament nu poate modifica majoritățile stabilite prin actele superioare.</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(7)</w:t>
      </w:r>
      <w:r>
        <w:rPr>
          <w:rFonts w:ascii="Cambria" w:hAnsi="Cambria" w:asciiTheme="minorHAnsi" w:hAnsiTheme="minorHAnsi"/>
          <w:color w:themeColor="text1" w:val="000000"/>
          <w:sz w:val="22"/>
          <w:lang w:val="ro-RO"/>
        </w:rPr>
        <w:t xml:space="preserve"> Rezultatele se consemnează într-un raport și se comunică membrilor și CGR în termenele prevăzute de Regulamentul-cadru.</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32. - Procesul-verbal și comunicarea hotărârilor</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Lucrările conferinței sunt consemnate într-un proces-verbal semnat de membrii prezidiului și de secretariat.</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Procesul-verbal și hotărârile se înregistrează, se arhivează și se comunică membrilor și CGR în termenele aplicabile.</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Hotărârile cu caracter general se publică pe pagina filialei, cu protejarea datelor personale.</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SECȚIUNEA a 2-a - Consiliul teritorial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33. - Componența</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Consiliul teritorial este format din președintele filialei, membru de drept, și numărul de membri stabilit de Regulamentul-cadru în funcție de numărul membrilor filialei.</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În filialele interjudețene, fiecare județ este reprezentat de cel puțin un membru.</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Locurile vacante se ocupă potrivit ordinii rezultatelor alegerilor și regulilor din Regulamentul-cadru.</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34. - Atribuțiile consiliului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Consiliul teritorial coordonează activitatea filialei între conferințe și exercită următoarele atribuții:</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convoacă și pregătește conferința;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alege și revocă membrii colegiului director teritorial;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aprobă bugetul și descărcarea de gestiune în limitele stabilite de Regulamentul CGR;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avizează documentele supuse conferinței;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aprobă regulamentele comisiilor;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soluționează contestațiile împotriva hotărârilor colegiului director teritorial; </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analizează activitatea organelor executive:</w:t>
      </w:r>
    </w:p>
    <w:p>
      <w:pPr>
        <w:pStyle w:val="ListParagraph"/>
        <w:numPr>
          <w:ilvl w:val="0"/>
          <w:numId w:val="11"/>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îndeplinește celelalte atribuții prevăzute de actele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35. - Ședințele consiliului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Consiliul se întrunește trimestrial și ori de câte ori este necesar.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Convocarea se comunică, de regulă, cu cel puțin 12 zile înainte, iar materialele cu cel puțin 3 zile înainte. În situații urgente motivate, termenele pot fi reduse.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Ședința este statutară în prezența majorității simple a membrilor, cu excepțiile pentru care Regulamentul-cadru impune două treimi.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Hotărârile se adoptă cu majoritatea simplă a celor prezenți. Ședințele se consemnează în procese-verbale comunicate membrilor și CGR.</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SECȚIUNEA a 3-a - Colegiul director teritorial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36. - Componența și alegerea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Colegiul director teritorial este alcătuit din președinte, vicepreședinte/vicepreședinți și trezorier, potrivit numărului membrilor consiliului teritorial și Regulamentului-cadru.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Membrii colegiului director sunt aleși prin vot secret de consiliul teritorial, dintre membrii acestuia.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Repartizarea atribuțiilor pe domenii se aprobă prin hotărârea consiliului teritorial.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37. - Atribuțiile colegiului director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Colegiul director teritorial coordonează activitatea curentă și are următoarele atribuții:</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pregătește conferința și proiectele de acte;</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 </w:t>
      </w:r>
      <w:r>
        <w:rPr>
          <w:rFonts w:ascii="Cambria" w:hAnsi="Cambria" w:asciiTheme="minorHAnsi" w:hAnsiTheme="minorHAnsi"/>
          <w:color w:themeColor="text1" w:val="000000"/>
          <w:sz w:val="22"/>
          <w:lang w:val="ro-RO"/>
        </w:rPr>
        <w:t xml:space="preserve">întocmește proiectul de buget; </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asigură informarea membrilor; </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controlează evidențele și registrul teritorial; </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coordonează dosarele stagiarilor; </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gestionează patrimoniul și bugetul;</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 xml:space="preserve">execută procedurile disciplinare în limitele competenței; </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aprobă regulamentul intern al aparatului administrativ;</w:t>
      </w:r>
    </w:p>
    <w:p>
      <w:pPr>
        <w:pStyle w:val="ListParagraph"/>
        <w:numPr>
          <w:ilvl w:val="0"/>
          <w:numId w:val="12"/>
        </w:numPr>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îndeplinește atribuțiile delegate sau stabilite de consiliul teritorial.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38. - Ședințele colegiului director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Colegiul director se întrunește lunar sau ori de câte ori este necesar.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Convocarea se face, de regulă, cu cel puțin 5 zile înainte, iar materialele cu cel puțin 3 zile înainte.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În situații urgente, consultarea și votul se pot realiza prin mijloace electronice, cu confirmarea scrisă a votului și consemnarea într-un proces-verbal.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Hotărârile se adoptă cu majoritatea simplă a membrilor prezenți și se comunică potrivit Regulamentului-cadru.</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SECȚIUNEA a 4-a - Președintele, vicepreședinții și trezorierul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39. - Președintele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Președintele reprezintă legal filiala în raporturile cu CGR și cu terții și poate încheia acte juridice în limitele competenței filialei și ale bugetului aprobat.</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Președintele convoacă și conduce organele filialei, asigură executarea hotărârilor, ordonanțează cheltuielile, conduce raporturile de muncă, semnează actele filialei și îndeplinește celelalte atribuții prevăzute de actele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Președintele nu poate emite acte de suspendare sau încetare a calității de membru ori a dreptului de semnătură, competențe care aparțin organelor naționale potrivit Regulamentului CGR. El poate face notificări, constatări și propuneri și pune în executare deciziile competente.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În lipsă temporară, președintele este înlocuit de un vicepreședinte, cu excepția trezorierului, în ordinea stabilită de consiliul teritorial.</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40. - Vicepreședinții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Vicepreședinții asistă președintele și coordonează domeniile repartizate: profesie; legislație și regulamente; educație, stagiu și pregătire profesională; comunicare; parteneriate, organizare și relația cu membrii. Ei coordonează grupurile de lucru din domeniile respective.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41. - Trezorierul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Trezorierul coordonează colectarea veniturilor și efectuarea cheltuielilor, participă la elaborarea proiectului de buget și prezintă anual consiliului teritorial raportul asupra execuției bugetare, pe baza evidențelor contabile și a raportului comisiei de cenzori.</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VI - COMISIILE FILIALEI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42. - Comisia teritorială de disciplină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Comisia este alcătuită din 5 geodezi cu drept de semnătură și minimum 10 ani experiență profesională, aleși prin vot secret pentru un mandat de 4 ani.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Organizarea, incompatibilitățile, sesizarea, cercetarea, deliberarea, soluțiile și căile de atac sunt cele prevăzute de lege și de Regulamentul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Sesizările privind un membru se depun la filiala în evidența căreia acesta figurează la data sesizării, potrivit domiciliului relevant stabilit conform art. 10.</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Comisia este independentă în activitatea jurisdicțională. Organele de conducere asigură numai suportul logistic și administrativ.</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43. - Comisia teritorială de cenzori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Comisia de cenzori se organizează în componența stabilită de Regulamentul-cadru și include obligatoriu un expert contabil.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Comisia verifică veniturile, cheltuielile, patrimoniul, evidențele contabile și respectarea bugetului, certifică situațiile financiare și întocmește rapoartele periodice și raportul de descărcare de gestiune.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Membrii comisiei își exercită atribuțiile independent și au acces la documentele financiar-contabile necesare.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44. - Comisii și grupuri de lucru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Consiliul teritorial poate înființa comisii și grupuri de lucru temporare sau permanente, fără personalitate juridică, stabilește mandatul, componența, durata și obligația de raportare, fără a le delega atribuții exclusive ale organelor alese.</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VII - APARATUL ADMINISTRATIV</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45. - Organizarea aparatului administrativ</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Aparatul administrativ se organizează potrivit organigramei aprobate de conferința teritorială și statului de funcții aprobat în limitele bugetului.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 xml:space="preserve">(2) </w:t>
      </w:r>
      <w:r>
        <w:rPr>
          <w:rFonts w:ascii="Cambria" w:hAnsi="Cambria" w:asciiTheme="minorHAnsi" w:hAnsiTheme="minorHAnsi"/>
          <w:color w:themeColor="text1" w:val="000000"/>
          <w:sz w:val="22"/>
          <w:lang w:val="ro-RO"/>
        </w:rPr>
        <w:t>Atribuțiile personalului se stabilesc prin contracte, fișe de post și regulamentul intern aprobat de colegiul director teritorial.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Personalul administrativ nu exercită competențe de decizie rezervate organelor alese.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46. - Circuitul documentelor și arhiva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organizează registratura generală, arhiva administrativă, arhiva financiar-contabilă, arhiva electorală și arhiva comisiei de disciplină, cu respectarea separării funcționale.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Documentele se înregistrează cronologic, se păstrează potrivit nomenclatorului arhivistic și se predau la schimbarea mandatului pe bază de proces-verbal.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Actele cu caracter individual se comunică persoanelor interesate prin mijloace care permit dovedirea comunicării.</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VIII - PATRIMONIUL, BUGETUL ȘI COTIZAȚIILE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47. - Patrimoniul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are patrimoniu distinct de cel al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poate încheia în nume propriu acte de administrare și conservare. Actele de dispoziție se încheie numai în condițiile și cu aprobările prevăzute de Regulamentul-cadru și actele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Membrii nu au drepturi individuale asupra patrimoniului filialei și nu pot solicita restituirea cotizațiilor ori a unei părți din patrimoniu în caz de transfer, reorganizare sau încetare a calității.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48. - Veniturile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Veniturile filialei se constituie din cotizații, penalități, taxele aprobate în competența sa, venituri din manifestări și activități permise de lege, drepturi editoriale, donații, sponsorizări și alte surse legale. Filiala nu poate institui taxe pentru operațiuni gratuite prin lege sau rezervate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49. - Cotizațiile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Cotizația anuală unică și penalitățile sunt aprobate de Conferința națională. Plata se face până la 31 martie a anului pentru care este datorată, dacă actele CGR nu prevăd alt termen.</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încasează și evidențiază sumele potrivit hotărârilor CGR și virează cota datorată CGR în termenele stabilite.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Neplata se notifică în scris. Filiala nu poate dispune suspendarea calității de membru sau a dreptului de semnătură, ci sesizează organul competent al CGR pentru emiterea deciziei prevăzute de Regulamentul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(4)</w:t>
      </w:r>
      <w:r>
        <w:rPr>
          <w:rFonts w:ascii="Cambria" w:hAnsi="Cambria" w:asciiTheme="minorHAnsi" w:hAnsiTheme="minorHAnsi"/>
          <w:color w:themeColor="text1" w:val="000000"/>
          <w:sz w:val="22"/>
          <w:lang w:val="ro-RO"/>
        </w:rPr>
        <w:t xml:space="preserve"> Eșalonarea poate fi aprobată numai de organul competent și în condițiile actelor CGR.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50. - Bugetul și controlul financiar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Bugetul se anual se elaborează de colegiul director teritorial și se aprobă de conferința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Angajarea și efectuarea cheltuielilor se fac numai în limita creditelor bugetare aprobate și pe baza documentelor justificative.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Bugetul, execuția bugetară și rapoartele cenzorilor sunt accesibile membrilor, cu respectarea protecției datelor și secretului comercial.</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IX - RAPORTURILE CU CGR ȘI CU ALTE FILIALE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51. - Caracterul obligatoriu al actelor CGR</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Hotărârile și deciziile organelor naționale ale CGR, emise în limitele competenței, sunt obligatorii pentru filială și membrii aflați în evidența sa.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transmite CGR documentele, datele și rapoartele prevăzute de actele aplicabile și răspunde solicitărilor legitime în termenele stabilite.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Filiala poate solicita CGR îndrumări, interpretări și documente necesare aplicării unitare a reglementărilor.</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52. - Cooperarea interfiliale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Filialele cooperează pentru organizarea pregătirii profesionale, transferul evidenței membrilor, soluționarea problemelor comune și reprezentarea echilibrată a județelor, fără a interveni în competența teritorială sau în actele interne ale altei filiale.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53. - Controlul de legalitate și îndrumarea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Proiectul regulamentului filialei și modificările sale se transmit Colegiului director al CGR pentru aviz prealabil.</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Filiala pune la dispoziția CGR documentele necesare verificării conformității activității sale cu legea și actele profesionale.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Măsurile de remediere dispuse de organele competente ale CGR se execută în termenul stabilit.</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X - DESFIINȚAREA</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54. Desființarea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Filiala se desființează în cazurile și prin procedura prevăzute de lege sau de Regulamentul-cadru.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Hotărârea va stabili transferul patrimoniului, al arhivei, al contractelor și al evidenței membrilor. În caz de divergență, se aplică hotărârea organului național competent.</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Desființarea filialei nu afectează calitatea de membru al CGR și dreptul de semnătură al persoanelor, care sunt luate în evidența filialelor competente potrivit domiciliului relevant stabilit conform art. 10.</w:t>
      </w:r>
    </w:p>
    <w:p>
      <w:pPr>
        <w:pStyle w:val="Heading1"/>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CAPITOLUL XI - DISPOZIȚII FINALE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55. - Actele filialei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Conferința și organele colegiale emit hotărâri, iar președintele emite decizii numai în limitele competențelor atribuite.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Actele se numerotează anual, se motivează în fapt și în drept când au caracter individual, se semnează și se înregistrează.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Actele pot fi contestate în cadrul procedurilor prevăzute de Regulamentul CGR și de lege.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56. - Comunicarea electronică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Comunicările dintre filială și membri se pot realiza prin e-mail, platforma CGR sau alte mijloace electronice declarate de membru.</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Membrul este răspunzător pentru actualizarea datelor de contact. Comunicarea la ultima adresă declarată se consideră valabilă, în condițiile legii.</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Pentru actele care declanșează termene de contestare se utilizează mijloace care permit dovedirea datei comunicării.</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57. - Completarea cu actele superioare</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Prezentul regulament se completează de drept cu Legea nr. 267/2024, Regulamentul CGR, Codul deontologic, Regulamentul-cadru și hotărârile organelor competente ale CGR. Reproducerea incompletă a unei norme superioare nu poate limita aplicarea acesteia.</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58. - Intrarea în vigoare și modificarea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(1)</w:t>
      </w:r>
      <w:r>
        <w:rPr>
          <w:rFonts w:ascii="Cambria" w:hAnsi="Cambria" w:asciiTheme="minorHAnsi" w:hAnsiTheme="minorHAnsi"/>
          <w:color w:themeColor="text1" w:val="000000"/>
          <w:sz w:val="22"/>
          <w:lang w:val="ro-RO"/>
        </w:rPr>
        <w:t xml:space="preserve"> Regulamentul intră în vigoare la data adoptării de către conferința teritorială.</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(2)</w:t>
      </w:r>
      <w:r>
        <w:rPr>
          <w:rFonts w:ascii="Cambria" w:hAnsi="Cambria" w:asciiTheme="minorHAnsi" w:hAnsiTheme="minorHAnsi"/>
          <w:color w:themeColor="text1" w:val="000000"/>
          <w:sz w:val="22"/>
          <w:lang w:val="ro-RO"/>
        </w:rPr>
        <w:t xml:space="preserve"> Modificarea se realizează prin aceeași procedură ca elaborarea și aprobarea.</w:t>
      </w:r>
    </w:p>
    <w:p>
      <w:pPr>
        <w:pStyle w:val="Normal"/>
        <w:spacing w:lineRule="auto" w:line="276"/>
        <w:ind w:left="142"/>
        <w:jc w:val="both"/>
        <w:rPr>
          <w:rFonts w:ascii="Cambria" w:hAnsi="Cambria" w:asciiTheme="minorHAnsi" w:hAnsiTheme="minorHAnsi"/>
          <w:color w:themeColor="text1" w:val="000000"/>
          <w:sz w:val="22"/>
          <w:lang w:val="ro-RO"/>
        </w:rPr>
      </w:pPr>
      <w:r>
        <w:rPr>
          <w:rFonts w:ascii="Cambria" w:hAnsi="Cambria" w:asciiTheme="minorHAnsi" w:hAnsiTheme="minorHAnsi"/>
          <w:b/>
          <w:bCs/>
          <w:color w:themeColor="text1" w:val="000000"/>
          <w:sz w:val="22"/>
          <w:lang w:val="ro-RO"/>
        </w:rPr>
        <w:t>(3)</w:t>
      </w:r>
      <w:r>
        <w:rPr>
          <w:rFonts w:ascii="Cambria" w:hAnsi="Cambria" w:asciiTheme="minorHAnsi" w:hAnsiTheme="minorHAnsi"/>
          <w:color w:themeColor="text1" w:val="000000"/>
          <w:sz w:val="22"/>
          <w:lang w:val="ro-RO"/>
        </w:rPr>
        <w:t xml:space="preserve"> În termen de 30 de zile de la intrarea în vigoare a unei modificări a actelor ierarhic superioare, colegiul director teritorial va analiza necesitatea actualizării regulamentului și va iniția procedura corespunzătoare.</w:t>
      </w:r>
    </w:p>
    <w:p>
      <w:pPr>
        <w:pStyle w:val="Heading2"/>
        <w:spacing w:lineRule="auto" w:line="276"/>
        <w:jc w:val="both"/>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Art. 59. - Dispoziție de conformare</w:t>
      </w:r>
    </w:p>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t>Orice prevedere sau practică internă anterioară privind admiterea în filială, condiționarea transferului între filiale, identificarea rigidă a domiciliului exclusiv cu rubrica din actul de identitate, stabilirea apartenenței exclusiv prin locul de muncă ori sediul profesional sau emiterea de către filială a unor acte privind dobândirea, suspendarea ori încetarea calității de membru al CGR încetează să se aplice de la intrarea în vigoare a prezentului regulament.</w:t>
      </w:r>
    </w:p>
    <w:p>
      <w:pPr>
        <w:pStyle w:val="Heading1"/>
        <w:spacing w:lineRule="auto" w:line="276"/>
        <w:jc w:val="right"/>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 xml:space="preserve">Anexă </w:t>
      </w:r>
    </w:p>
    <w:p>
      <w:pPr>
        <w:pStyle w:val="Heading1"/>
        <w:spacing w:lineRule="auto" w:line="276"/>
        <w:jc w:val="center"/>
        <w:rPr>
          <w:rFonts w:ascii="Cambria" w:hAnsi="Cambria" w:asciiTheme="minorHAnsi" w:hAnsiTheme="minorHAnsi"/>
          <w:color w:themeColor="text1" w:val="000000"/>
          <w:sz w:val="22"/>
          <w:szCs w:val="22"/>
          <w:lang w:val="ro-RO"/>
        </w:rPr>
      </w:pPr>
      <w:r>
        <w:rPr>
          <w:rFonts w:ascii="Cambria" w:hAnsi="Cambria" w:asciiTheme="minorHAnsi" w:hAnsiTheme="minorHAnsi"/>
          <w:color w:themeColor="text1" w:val="000000"/>
          <w:sz w:val="22"/>
          <w:szCs w:val="22"/>
          <w:lang w:val="ro-RO"/>
        </w:rPr>
        <w:t>Flux administrativ privind evidența teritorială a membrilor</w:t>
      </w:r>
    </w:p>
    <w:tbl>
      <w:tblPr>
        <w:tblStyle w:val="TableGrid"/>
        <w:tblW w:w="9947"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235"/>
        <w:gridCol w:w="3154"/>
        <w:gridCol w:w="1835"/>
        <w:gridCol w:w="2722"/>
      </w:tblGrid>
      <w:tr>
        <w:trPr/>
        <w:tc>
          <w:tcPr>
            <w:tcW w:w="2235"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Etapa</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Operațiunea</w:t>
            </w:r>
          </w:p>
        </w:tc>
        <w:tc>
          <w:tcPr>
            <w:tcW w:w="1835"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Responsabil principal</w:t>
            </w:r>
          </w:p>
        </w:tc>
        <w:tc>
          <w:tcPr>
            <w:tcW w:w="2722"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Regula de conformitate</w:t>
            </w:r>
          </w:p>
        </w:tc>
      </w:tr>
      <w:tr>
        <w:trPr/>
        <w:tc>
          <w:tcPr>
            <w:tcW w:w="2235" w:type="dxa"/>
            <w:tcBorders/>
            <w:vAlign w:val="center"/>
          </w:tcPr>
          <w:p>
            <w:pPr>
              <w:pStyle w:val="Normal"/>
              <w:widowControl/>
              <w:numPr>
                <w:ilvl w:val="0"/>
                <w:numId w:val="13"/>
              </w:numPr>
              <w:tabs>
                <w:tab w:val="clear" w:pos="720"/>
                <w:tab w:val="left" w:pos="1890" w:leader="none"/>
                <w:tab w:val="left" w:pos="2100" w:leader="none"/>
              </w:tabs>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Dobândirea dreptului de semnătură</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CGR emite actul și operează/dispune înscrierea în Registrul național.</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CGR</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Filiala nu decide admiterea.</w:t>
            </w:r>
          </w:p>
        </w:tc>
      </w:tr>
      <w:tr>
        <w:trPr/>
        <w:tc>
          <w:tcPr>
            <w:tcW w:w="2235" w:type="dxa"/>
            <w:tcBorders/>
            <w:vAlign w:val="center"/>
          </w:tcPr>
          <w:p>
            <w:pPr>
              <w:pStyle w:val="Normal"/>
              <w:widowControl/>
              <w:numPr>
                <w:ilvl w:val="0"/>
                <w:numId w:val="14"/>
              </w:numPr>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Identificarea filialei competente</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Se stabilește exclusiv după domiciliul din actul de identitate, coroborat cu locul statornic de locuire declarat de solicitant</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CGR/filiala</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Locul de muncă sau sediul profesional nu sunt criterii.</w:t>
            </w:r>
          </w:p>
        </w:tc>
      </w:tr>
      <w:tr>
        <w:trPr/>
        <w:tc>
          <w:tcPr>
            <w:tcW w:w="2235"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3</w:t>
            </w:r>
            <w:r>
              <w:rPr>
                <w:rFonts w:cs="" w:ascii="Cambria" w:hAnsi="Cambria" w:asciiTheme="minorHAnsi" w:hAnsiTheme="minorHAnsi"/>
                <w:b/>
                <w:bCs/>
                <w:color w:themeColor="text1" w:val="000000"/>
                <w:kern w:val="0"/>
                <w:sz w:val="22"/>
                <w:lang w:val="ro-RO" w:eastAsia="en-US" w:bidi="ar-SA"/>
              </w:rPr>
              <w:t>.</w:t>
            </w:r>
            <w:r>
              <w:rPr>
                <w:rFonts w:cs="" w:ascii="Cambria" w:hAnsi="Cambria" w:asciiTheme="minorHAnsi" w:hAnsiTheme="minorHAnsi"/>
                <w:color w:themeColor="text1" w:val="000000"/>
                <w:kern w:val="0"/>
                <w:sz w:val="22"/>
                <w:lang w:val="ro-RO" w:eastAsia="en-US" w:bidi="ar-SA"/>
              </w:rPr>
              <w:t xml:space="preserve"> Luarea în evidență</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Se deschide dosarul teritorial și se confirmă persoanei.</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Filiala</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Operațiune administrativă nediscreționară.</w:t>
            </w:r>
          </w:p>
        </w:tc>
      </w:tr>
      <w:tr>
        <w:trPr/>
        <w:tc>
          <w:tcPr>
            <w:tcW w:w="2235" w:type="dxa"/>
            <w:tcBorders/>
            <w:vAlign w:val="center"/>
          </w:tcPr>
          <w:p>
            <w:pPr>
              <w:pStyle w:val="Normal"/>
              <w:widowControl/>
              <w:numPr>
                <w:ilvl w:val="0"/>
                <w:numId w:val="15"/>
              </w:numPr>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Actualizarea datelor</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Membrul notifică în 30 de zile; filiala actualizează și informează CGR.</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Membru/filiala</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Datele Registrului național se modifică prin procedura CGR.</w:t>
            </w:r>
          </w:p>
        </w:tc>
      </w:tr>
      <w:tr>
        <w:trPr/>
        <w:tc>
          <w:tcPr>
            <w:tcW w:w="2235" w:type="dxa"/>
            <w:tcBorders/>
            <w:vAlign w:val="center"/>
          </w:tcPr>
          <w:p>
            <w:pPr>
              <w:pStyle w:val="Normal"/>
              <w:widowControl/>
              <w:numPr>
                <w:ilvl w:val="0"/>
                <w:numId w:val="15"/>
              </w:numPr>
              <w:tabs>
                <w:tab w:val="clear" w:pos="720"/>
                <w:tab w:val="left" w:pos="220" w:leader="none"/>
              </w:tabs>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Schimbarea domiciliului</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Filiala de origine transmite, la cererea noii filiale de transfer, dosarul de evidență, face mențiune în registru iar filiala de destinație confirmă preluarea.</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Cele două filiale</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Nu este necesară o nouă admitere.</w:t>
            </w:r>
          </w:p>
        </w:tc>
      </w:tr>
      <w:tr>
        <w:trPr/>
        <w:tc>
          <w:tcPr>
            <w:tcW w:w="2235"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6</w:t>
            </w:r>
            <w:r>
              <w:rPr>
                <w:rFonts w:cs="" w:ascii="Cambria" w:hAnsi="Cambria" w:asciiTheme="minorHAnsi" w:hAnsiTheme="minorHAnsi"/>
                <w:b/>
                <w:bCs/>
                <w:color w:themeColor="text1" w:val="000000"/>
                <w:kern w:val="0"/>
                <w:sz w:val="22"/>
                <w:lang w:val="ro-RO" w:eastAsia="en-US" w:bidi="ar-SA"/>
              </w:rPr>
              <w:t>.</w:t>
            </w:r>
            <w:r>
              <w:rPr>
                <w:rFonts w:cs="" w:ascii="Cambria" w:hAnsi="Cambria" w:asciiTheme="minorHAnsi" w:hAnsiTheme="minorHAnsi"/>
                <w:color w:themeColor="text1" w:val="000000"/>
                <w:kern w:val="0"/>
                <w:sz w:val="22"/>
                <w:lang w:val="ro-RO" w:eastAsia="en-US" w:bidi="ar-SA"/>
              </w:rPr>
              <w:t xml:space="preserve"> Suspendarea</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Organul național competent emite decizia; filiala o execută în evidență.</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CGR/filiala</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Filiala nu suspendă autonom.</w:t>
            </w:r>
          </w:p>
        </w:tc>
      </w:tr>
      <w:tr>
        <w:trPr/>
        <w:tc>
          <w:tcPr>
            <w:tcW w:w="2235"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7</w:t>
            </w:r>
            <w:r>
              <w:rPr>
                <w:rFonts w:cs="" w:ascii="Cambria" w:hAnsi="Cambria" w:asciiTheme="minorHAnsi" w:hAnsiTheme="minorHAnsi"/>
                <w:b/>
                <w:bCs/>
                <w:color w:themeColor="text1" w:val="000000"/>
                <w:kern w:val="0"/>
                <w:sz w:val="22"/>
                <w:lang w:val="ro-RO" w:eastAsia="en-US" w:bidi="ar-SA"/>
              </w:rPr>
              <w:t xml:space="preserve">. </w:t>
            </w:r>
            <w:r>
              <w:rPr>
                <w:rFonts w:cs="" w:ascii="Cambria" w:hAnsi="Cambria" w:asciiTheme="minorHAnsi" w:hAnsiTheme="minorHAnsi"/>
                <w:color w:themeColor="text1" w:val="000000"/>
                <w:kern w:val="0"/>
                <w:sz w:val="22"/>
                <w:lang w:val="ro-RO" w:eastAsia="en-US" w:bidi="ar-SA"/>
              </w:rPr>
              <w:t>Încetarea calității</w:t>
            </w:r>
          </w:p>
        </w:tc>
        <w:tc>
          <w:tcPr>
            <w:tcW w:w="3154" w:type="dxa"/>
            <w:tcBorders/>
            <w:vAlign w:val="center"/>
          </w:tcPr>
          <w:p>
            <w:pPr>
              <w:pStyle w:val="Normal"/>
              <w:widowControl/>
              <w:spacing w:lineRule="auto" w:line="276" w:before="0" w:after="20"/>
              <w:jc w:val="both"/>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Organul competent emite decizia și dispune radierea; filiala arhivează dosarul.</w:t>
            </w:r>
          </w:p>
        </w:tc>
        <w:tc>
          <w:tcPr>
            <w:tcW w:w="1835" w:type="dxa"/>
            <w:tcBorders/>
            <w:vAlign w:val="center"/>
          </w:tcPr>
          <w:p>
            <w:pPr>
              <w:pStyle w:val="Normal"/>
              <w:widowControl/>
              <w:spacing w:lineRule="auto" w:line="276" w:before="0" w:after="20"/>
              <w:jc w:val="center"/>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CGR/filiala</w:t>
            </w:r>
          </w:p>
        </w:tc>
        <w:tc>
          <w:tcPr>
            <w:tcW w:w="2722" w:type="dxa"/>
            <w:tcBorders/>
            <w:vAlign w:val="center"/>
          </w:tcPr>
          <w:p>
            <w:pPr>
              <w:pStyle w:val="Normal"/>
              <w:widowControl/>
              <w:spacing w:lineRule="auto" w:line="276" w:before="0" w:after="20"/>
              <w:jc w:val="left"/>
              <w:rPr>
                <w:rFonts w:ascii="Cambria" w:hAnsi="Cambria" w:asciiTheme="minorHAnsi" w:hAnsiTheme="minorHAnsi"/>
                <w:color w:themeColor="text1" w:val="000000"/>
                <w:sz w:val="22"/>
                <w:lang w:val="ro-RO"/>
              </w:rPr>
            </w:pPr>
            <w:r>
              <w:rPr>
                <w:rFonts w:cs="" w:ascii="Cambria" w:hAnsi="Cambria" w:asciiTheme="minorHAnsi" w:hAnsiTheme="minorHAnsi"/>
                <w:color w:themeColor="text1" w:val="000000"/>
                <w:kern w:val="0"/>
                <w:sz w:val="22"/>
                <w:lang w:val="ro-RO" w:eastAsia="en-US" w:bidi="ar-SA"/>
              </w:rPr>
              <w:t>Încetarea evidenței teritoriale este consecință, nu cauză.</w:t>
            </w:r>
          </w:p>
        </w:tc>
      </w:tr>
    </w:tbl>
    <w:p>
      <w:pPr>
        <w:pStyle w:val="Normal"/>
        <w:spacing w:lineRule="auto" w:line="276"/>
        <w:jc w:val="both"/>
        <w:rPr>
          <w:rFonts w:ascii="Cambria" w:hAnsi="Cambria" w:asciiTheme="minorHAnsi" w:hAnsiTheme="minorHAnsi"/>
          <w:color w:themeColor="text1" w:val="000000"/>
          <w:sz w:val="22"/>
          <w:lang w:val="ro-RO"/>
        </w:rPr>
      </w:pPr>
      <w:r>
        <w:rPr>
          <w:rFonts w:ascii="Cambria" w:hAnsi="Cambria" w:asciiTheme="minorHAnsi" w:hAnsiTheme="minorHAnsi"/>
          <w:color w:themeColor="text1" w:val="000000"/>
          <w:sz w:val="22"/>
          <w:lang w:val="ro-RO"/>
        </w:rPr>
        <w:br/>
        <w:t xml:space="preserve">Adoptat de Conferința teritorială a Filialei </w:t>
      </w:r>
      <w:r>
        <w:rPr>
          <w:rFonts w:ascii="Cambria" w:hAnsi="Cambria" w:asciiTheme="minorHAnsi" w:hAnsiTheme="minorHAnsi"/>
          <w:color w:themeColor="text1" w:val="000000"/>
          <w:sz w:val="22"/>
        </w:rPr>
        <w:t>Cluj,</w:t>
      </w:r>
      <w:r>
        <w:rPr>
          <w:rFonts w:ascii="Cambria" w:hAnsi="Cambria" w:asciiTheme="minorHAnsi" w:hAnsiTheme="minorHAnsi"/>
          <w:color w:themeColor="text1" w:val="000000"/>
          <w:sz w:val="22"/>
          <w:lang w:val="ro-RO"/>
        </w:rPr>
        <w:t xml:space="preserve"> prin Hotărârea nr. ..................</w:t>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t xml:space="preserve">PREȘEDINTE </w:t>
        <w:br/>
        <w:t>.................................</w:t>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r>
        <w:br w:type="page"/>
      </w:r>
    </w:p>
    <w:p>
      <w:pPr>
        <w:pStyle w:val="Normal"/>
        <w:spacing w:before="0" w:after="60"/>
        <w:jc w:val="center"/>
        <w:rPr/>
      </w:pPr>
      <w:r>
        <w:rPr>
          <w:rFonts w:ascii="Arial" w:hAnsi="Arial"/>
          <w:b/>
          <w:sz w:val="28"/>
        </w:rPr>
        <w:t>TABEL PROPUNERI DE AMENDAMENTE</w:t>
      </w:r>
    </w:p>
    <w:p>
      <w:pPr>
        <w:pStyle w:val="Normal"/>
        <w:spacing w:before="0" w:after="60"/>
        <w:jc w:val="center"/>
        <w:rPr/>
      </w:pPr>
      <w:r>
        <w:rPr>
          <w:rFonts w:ascii="Arial" w:hAnsi="Arial"/>
          <w:sz w:val="22"/>
        </w:rPr>
        <w:t>Proiect de Regulament pentru organizare și funcționare a Filialei Cluj a CGR</w:t>
      </w:r>
    </w:p>
    <w:tbl>
      <w:tblPr>
        <w:tblStyle w:val="TableGrid"/>
        <w:tblW w:w="1109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064"/>
        <w:gridCol w:w="2281"/>
        <w:gridCol w:w="2610"/>
        <w:gridCol w:w="2436"/>
        <w:gridCol w:w="2700"/>
      </w:tblGrid>
      <w:tr>
        <w:trPr>
          <w:tblHeader w:val="true"/>
        </w:trPr>
        <w:tc>
          <w:tcPr>
            <w:tcW w:w="1064" w:type="dxa"/>
            <w:tcBorders/>
            <w:shd w:fill="D9E2F3"/>
            <w:vAlign w:val="center"/>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b/>
                <w:kern w:val="0"/>
                <w:sz w:val="18"/>
                <w:szCs w:val="22"/>
                <w:lang w:val="en-US" w:eastAsia="en-US" w:bidi="ar-SA"/>
              </w:rPr>
              <w:t>Nr. crt.</w:t>
            </w:r>
          </w:p>
        </w:tc>
        <w:tc>
          <w:tcPr>
            <w:tcW w:w="2281" w:type="dxa"/>
            <w:tcBorders/>
            <w:shd w:fill="D9E2F3"/>
            <w:vAlign w:val="center"/>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b/>
                <w:kern w:val="0"/>
                <w:sz w:val="18"/>
                <w:szCs w:val="22"/>
                <w:lang w:val="en-US" w:eastAsia="en-US" w:bidi="ar-SA"/>
              </w:rPr>
              <w:t>Articol / alineat / literă</w:t>
            </w:r>
          </w:p>
        </w:tc>
        <w:tc>
          <w:tcPr>
            <w:tcW w:w="2610" w:type="dxa"/>
            <w:tcBorders/>
            <w:shd w:fill="D9E2F3"/>
            <w:vAlign w:val="center"/>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b/>
                <w:kern w:val="0"/>
                <w:sz w:val="18"/>
                <w:szCs w:val="22"/>
                <w:lang w:val="en-US" w:eastAsia="en-US" w:bidi="ar-SA"/>
              </w:rPr>
              <w:t>Forma existentă</w:t>
            </w:r>
          </w:p>
        </w:tc>
        <w:tc>
          <w:tcPr>
            <w:tcW w:w="2436" w:type="dxa"/>
            <w:tcBorders/>
            <w:shd w:fill="D9E2F3"/>
            <w:vAlign w:val="center"/>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b/>
                <w:kern w:val="0"/>
                <w:sz w:val="18"/>
                <w:szCs w:val="22"/>
                <w:lang w:val="en-US" w:eastAsia="en-US" w:bidi="ar-SA"/>
              </w:rPr>
              <w:t>Forma propusă</w:t>
            </w:r>
          </w:p>
        </w:tc>
        <w:tc>
          <w:tcPr>
            <w:tcW w:w="2700" w:type="dxa"/>
            <w:tcBorders/>
            <w:shd w:fill="D9E2F3"/>
            <w:vAlign w:val="center"/>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b/>
                <w:kern w:val="0"/>
                <w:sz w:val="18"/>
                <w:szCs w:val="22"/>
                <w:lang w:val="en-US" w:eastAsia="en-US" w:bidi="ar-SA"/>
              </w:rPr>
              <w:t>Motivarea amendamentului</w:t>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2</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3</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4</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5</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6</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7</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8</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9</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10</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11</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12</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13</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14</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r>
        <w:trPr>
          <w:trHeight w:val="510" w:hRule="atLeast"/>
        </w:trPr>
        <w:tc>
          <w:tcPr>
            <w:tcW w:w="1064" w:type="dxa"/>
            <w:tcBorders/>
          </w:tcPr>
          <w:p>
            <w:pPr>
              <w:pStyle w:val="Normal"/>
              <w:widowControl/>
              <w:spacing w:lineRule="auto" w:line="240" w:before="0" w:after="0"/>
              <w:jc w:val="center"/>
              <w:rPr>
                <w:rFonts w:eastAsia="ＭＳ 明朝" w:cs=""/>
                <w:kern w:val="0"/>
                <w:szCs w:val="22"/>
                <w:lang w:val="en-US" w:eastAsia="en-US" w:bidi="ar-SA"/>
              </w:rPr>
            </w:pPr>
            <w:r>
              <w:rPr>
                <w:rFonts w:eastAsia="ＭＳ 明朝" w:cs="" w:ascii="Arial" w:hAnsi="Arial"/>
                <w:kern w:val="0"/>
                <w:sz w:val="18"/>
                <w:szCs w:val="22"/>
                <w:lang w:val="en-US" w:eastAsia="en-US" w:bidi="ar-SA"/>
              </w:rPr>
              <w:t>15</w:t>
            </w:r>
          </w:p>
        </w:tc>
        <w:tc>
          <w:tcPr>
            <w:tcW w:w="2281"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ascii="Arial" w:hAnsi="Arial"/>
                <w:kern w:val="0"/>
                <w:sz w:val="18"/>
                <w:szCs w:val="22"/>
                <w:lang w:val="en-US" w:eastAsia="en-US" w:bidi="ar-SA"/>
              </w:rPr>
              <w:t>Art. __ alin. (__), lit. __</w:t>
            </w:r>
          </w:p>
        </w:tc>
        <w:tc>
          <w:tcPr>
            <w:tcW w:w="261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436"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700"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r>
    </w:tbl>
    <w:p>
      <w:pPr>
        <w:pStyle w:val="Normal"/>
        <w:spacing w:before="100" w:after="200"/>
        <w:jc w:val="left"/>
        <w:rPr/>
      </w:pPr>
      <w:r>
        <w:rPr>
          <w:rFonts w:ascii="Arial" w:hAnsi="Arial"/>
          <w:i/>
          <w:sz w:val="16"/>
        </w:rPr>
        <w:t>Notă: tabelul este un draft de lucru; câmpurile se completează pentru fiecare amendament propus.</w:t>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p>
      <w:pPr>
        <w:pStyle w:val="Normal"/>
        <w:spacing w:lineRule="auto" w:line="276"/>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p>
      <w:pPr>
        <w:pStyle w:val="Normal"/>
        <w:spacing w:lineRule="auto" w:line="276" w:before="0" w:after="60"/>
        <w:jc w:val="both"/>
        <w:rPr>
          <w:rFonts w:ascii="Cambria" w:hAnsi="Cambria" w:asciiTheme="minorHAnsi" w:hAnsiTheme="minorHAnsi"/>
          <w:color w:themeColor="text1" w:val="000000"/>
          <w:sz w:val="22"/>
          <w:lang w:val="ro-RO"/>
        </w:rPr>
      </w:pPr>
      <w:r>
        <w:rPr>
          <w:rFonts w:asciiTheme="minorHAnsi" w:hAnsiTheme="minorHAnsi" w:ascii="Cambria" w:hAnsi="Cambria"/>
          <w:b/>
          <w:color w:themeColor="text1" w:val="000000"/>
          <w:sz w:val="22"/>
          <w:lang w:val="ro-RO"/>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644" w:right="1361" w:gutter="0" w:header="590" w:top="100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swiss"/>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largest"/>
              <wp:docPr id="1"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sdt>
                          <w:sdtPr>
                            <w:docPartObj>
                              <w:docPartGallery w:val="AutoText"/>
                            </w:docPartObj>
                            <w:id w:val="-151922897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docPartObj>
                        <w:docPartGallery w:val="AutoText"/>
                      </w:docPartObj>
                      <w:id w:val="-151922897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jc w:val="center"/>
      <w:rPr/>
    </w:pPr>
    <w:r>
      <w:rPr/>
    </w:r>
    <w: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74295" cy="153670"/>
              <wp:effectExtent l="0" t="0" r="0" b="0"/>
              <wp:wrapSquare wrapText="largest"/>
              <wp:docPr id="2" name="Frame2"/>
              <a:graphic xmlns:a="http://schemas.openxmlformats.org/drawingml/2006/main">
                <a:graphicData uri="http://schemas.microsoft.com/office/word/2010/wordprocessingShape">
                  <wps:wsp>
                    <wps:cNvSpPr txBox="1"/>
                    <wps:spPr>
                      <a:xfrm>
                        <a:off x="0" y="0"/>
                        <a:ext cx="74295" cy="153670"/>
                      </a:xfrm>
                      <a:prstGeom prst="rect"/>
                      <a:solidFill>
                        <a:srgbClr val="FFFFFF">
                          <a:alpha val="0"/>
                        </a:srgbClr>
                      </a:solidFill>
                    </wps:spPr>
                    <wps:txbx>
                      <w:txbxContent>
                        <w:sdt>
                          <w:sdtPr>
                            <w:docPartObj>
                              <w:docPartGallery w:val="AutoText"/>
                            </w:docPartObj>
                            <w:id w:val="127497636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5.85pt;height:12.1pt;mso-wrap-distance-left:0pt;mso-wrap-distance-right:0pt;mso-wrap-distance-top:0pt;mso-wrap-distance-bottom:0pt;margin-top:0.05pt;mso-position-vertical-relative:text;margin-left:433.35pt;mso-position-horizontal:right;mso-position-horizontal-relative:margin">
              <v:fill opacity="0f"/>
              <v:textbox inset="0in,0in,0in,0in">
                <w:txbxContent>
                  <w:sdt>
                    <w:sdtPr>
                      <w:docPartObj>
                        <w:docPartGallery w:val="AutoText"/>
                      </w:docPartObj>
                      <w:id w:val="127497636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jc w:val="center"/>
      <w:rPr/>
    </w:pPr>
    <w:r>
      <w:rPr/>
    </w:r>
    <w: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74295" cy="153670"/>
              <wp:effectExtent l="0" t="0" r="0" b="0"/>
              <wp:wrapSquare wrapText="largest"/>
              <wp:docPr id="3" name="Frame2"/>
              <a:graphic xmlns:a="http://schemas.openxmlformats.org/drawingml/2006/main">
                <a:graphicData uri="http://schemas.microsoft.com/office/word/2010/wordprocessingShape">
                  <wps:wsp>
                    <wps:cNvSpPr txBox="1"/>
                    <wps:spPr>
                      <a:xfrm>
                        <a:off x="0" y="0"/>
                        <a:ext cx="74295" cy="153670"/>
                      </a:xfrm>
                      <a:prstGeom prst="rect"/>
                      <a:solidFill>
                        <a:srgbClr val="FFFFFF">
                          <a:alpha val="0"/>
                        </a:srgbClr>
                      </a:solidFill>
                    </wps:spPr>
                    <wps:txbx>
                      <w:txbxContent>
                        <w:sdt>
                          <w:sdtPr>
                            <w:docPartObj>
                              <w:docPartGallery w:val="AutoText"/>
                            </w:docPartObj>
                            <w:id w:val="127497636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5.85pt;height:12.1pt;mso-wrap-distance-left:0pt;mso-wrap-distance-right:0pt;mso-wrap-distance-top:0pt;mso-wrap-distance-bottom:0pt;margin-top:0.05pt;mso-position-vertical-relative:text;margin-left:433.35pt;mso-position-horizontal:right;mso-position-horizontal-relative:margin">
              <v:fill opacity="0f"/>
              <v:textbox inset="0in,0in,0in,0in">
                <w:txbxContent>
                  <w:sdt>
                    <w:sdtPr>
                      <w:docPartObj>
                        <w:docPartGallery w:val="AutoText"/>
                      </w:docPartObj>
                      <w:id w:val="1274976363"/>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txbxContent>
              </v:textbox>
              <w10:wrap type="square" side="largest"/>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tabs>
          <w:tab w:val="num" w:pos="0"/>
        </w:tabs>
        <w:ind w:left="862" w:hanging="360"/>
      </w:pPr>
      <w:rPr>
        <w:sz w:val="22"/>
        <w:i w:val="false"/>
        <w:b/>
        <w:bCs/>
        <w:rFonts w:ascii="Cambria" w:hAnsi="Cambria"/>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8">
    <w:lvl w:ilvl="0">
      <w:start w:val="1"/>
      <w:numFmt w:val="lowerLetter"/>
      <w:lvlText w:val="%1)"/>
      <w:lvlJc w:val="left"/>
      <w:pPr>
        <w:tabs>
          <w:tab w:val="num" w:pos="0"/>
        </w:tabs>
        <w:ind w:left="862" w:hanging="360"/>
      </w:pPr>
      <w:rPr>
        <w:sz w:val="22"/>
        <w:i w:val="false"/>
        <w:b/>
        <w:bCs/>
        <w:rFonts w:ascii="Cambria" w:hAnsi="Cambria"/>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9">
    <w:lvl w:ilvl="0">
      <w:start w:val="1"/>
      <w:numFmt w:val="lowerLetter"/>
      <w:lvlText w:val="%1)"/>
      <w:lvlJc w:val="left"/>
      <w:pPr>
        <w:tabs>
          <w:tab w:val="num" w:pos="0"/>
        </w:tabs>
        <w:ind w:left="862" w:hanging="360"/>
      </w:pPr>
      <w:rPr>
        <w:sz w:val="22"/>
        <w:i w:val="false"/>
        <w:b/>
        <w:bCs/>
        <w:rFonts w:ascii="Cambria" w:hAnsi="Cambria"/>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10">
    <w:lvl w:ilvl="0">
      <w:start w:val="1"/>
      <w:numFmt w:val="lowerLetter"/>
      <w:lvlText w:val="%1)"/>
      <w:lvlJc w:val="left"/>
      <w:pPr>
        <w:tabs>
          <w:tab w:val="num" w:pos="0"/>
        </w:tabs>
        <w:ind w:left="862" w:hanging="360"/>
      </w:pPr>
      <w:rPr>
        <w:sz w:val="22"/>
        <w:i w:val="false"/>
        <w:b/>
        <w:bCs/>
        <w:rFonts w:ascii="Cambria" w:hAnsi="Cambria"/>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11">
    <w:lvl w:ilvl="0">
      <w:start w:val="1"/>
      <w:numFmt w:val="lowerLetter"/>
      <w:lvlText w:val="%1)"/>
      <w:lvlJc w:val="left"/>
      <w:pPr>
        <w:tabs>
          <w:tab w:val="num" w:pos="0"/>
        </w:tabs>
        <w:ind w:left="862" w:hanging="360"/>
      </w:pPr>
      <w:rPr>
        <w:sz w:val="22"/>
        <w:i w:val="false"/>
        <w:b/>
        <w:bCs/>
        <w:rFonts w:ascii="Cambria" w:hAnsi="Cambria"/>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12">
    <w:lvl w:ilvl="0">
      <w:start w:val="1"/>
      <w:numFmt w:val="lowerLetter"/>
      <w:lvlText w:val="%1)"/>
      <w:lvlJc w:val="left"/>
      <w:pPr>
        <w:tabs>
          <w:tab w:val="num" w:pos="0"/>
        </w:tabs>
        <w:ind w:left="904" w:hanging="360"/>
      </w:pPr>
      <w:rPr>
        <w:sz w:val="22"/>
        <w:i w:val="false"/>
        <w:b/>
        <w:bCs/>
        <w:rFonts w:ascii="Cambria" w:hAnsi="Cambria"/>
      </w:rPr>
    </w:lvl>
    <w:lvl w:ilvl="1">
      <w:start w:val="1"/>
      <w:numFmt w:val="lowerLetter"/>
      <w:lvlText w:val="%2."/>
      <w:lvlJc w:val="left"/>
      <w:pPr>
        <w:tabs>
          <w:tab w:val="num" w:pos="0"/>
        </w:tabs>
        <w:ind w:left="1624" w:hanging="360"/>
      </w:pPr>
      <w:rPr/>
    </w:lvl>
    <w:lvl w:ilvl="2">
      <w:start w:val="1"/>
      <w:numFmt w:val="lowerRoman"/>
      <w:lvlText w:val="%3."/>
      <w:lvlJc w:val="right"/>
      <w:pPr>
        <w:tabs>
          <w:tab w:val="num" w:pos="0"/>
        </w:tabs>
        <w:ind w:left="2344" w:hanging="180"/>
      </w:pPr>
      <w:rPr/>
    </w:lvl>
    <w:lvl w:ilvl="3">
      <w:start w:val="1"/>
      <w:numFmt w:val="decimal"/>
      <w:lvlText w:val="%4."/>
      <w:lvlJc w:val="left"/>
      <w:pPr>
        <w:tabs>
          <w:tab w:val="num" w:pos="0"/>
        </w:tabs>
        <w:ind w:left="3064" w:hanging="360"/>
      </w:pPr>
      <w:rPr/>
    </w:lvl>
    <w:lvl w:ilvl="4">
      <w:start w:val="1"/>
      <w:numFmt w:val="lowerLetter"/>
      <w:lvlText w:val="%5."/>
      <w:lvlJc w:val="left"/>
      <w:pPr>
        <w:tabs>
          <w:tab w:val="num" w:pos="0"/>
        </w:tabs>
        <w:ind w:left="3784" w:hanging="360"/>
      </w:pPr>
      <w:rPr/>
    </w:lvl>
    <w:lvl w:ilvl="5">
      <w:start w:val="1"/>
      <w:numFmt w:val="lowerRoman"/>
      <w:lvlText w:val="%6."/>
      <w:lvlJc w:val="right"/>
      <w:pPr>
        <w:tabs>
          <w:tab w:val="num" w:pos="0"/>
        </w:tabs>
        <w:ind w:left="4504" w:hanging="180"/>
      </w:pPr>
      <w:rPr/>
    </w:lvl>
    <w:lvl w:ilvl="6">
      <w:start w:val="1"/>
      <w:numFmt w:val="decimal"/>
      <w:lvlText w:val="%7."/>
      <w:lvlJc w:val="left"/>
      <w:pPr>
        <w:tabs>
          <w:tab w:val="num" w:pos="0"/>
        </w:tabs>
        <w:ind w:left="5224" w:hanging="360"/>
      </w:pPr>
      <w:rPr/>
    </w:lvl>
    <w:lvl w:ilvl="7">
      <w:start w:val="1"/>
      <w:numFmt w:val="lowerLetter"/>
      <w:lvlText w:val="%8."/>
      <w:lvlJc w:val="left"/>
      <w:pPr>
        <w:tabs>
          <w:tab w:val="num" w:pos="0"/>
        </w:tabs>
        <w:ind w:left="5944" w:hanging="360"/>
      </w:pPr>
      <w:rPr/>
    </w:lvl>
    <w:lvl w:ilvl="8">
      <w:start w:val="1"/>
      <w:numFmt w:val="lowerRoman"/>
      <w:lvlText w:val="%9."/>
      <w:lvlJc w:val="right"/>
      <w:pPr>
        <w:tabs>
          <w:tab w:val="num" w:pos="0"/>
        </w:tabs>
        <w:ind w:left="6664" w:hanging="180"/>
      </w:pPr>
      <w:rPr/>
    </w:lvl>
  </w:abstractNum>
  <w:abstractNum w:abstractNumId="13">
    <w:lvl w:ilvl="0">
      <w:start w:val="1"/>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2"/>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4"/>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60"/>
      <w:jc w:val="left"/>
    </w:pPr>
    <w:rPr>
      <w:rFonts w:ascii="Arial" w:hAnsi="Arial" w:eastAsia="Arial" w:cs="" w:cstheme="minorBidi"/>
      <w:color w:val="auto"/>
      <w:kern w:val="0"/>
      <w:sz w:val="21"/>
      <w:szCs w:val="22"/>
      <w:lang w:val="en-US" w:eastAsia="en-US" w:bidi="ar-SA"/>
    </w:rPr>
  </w:style>
  <w:style w:type="paragraph" w:styleId="Heading1">
    <w:name w:val="heading 1"/>
    <w:basedOn w:val="Normal"/>
    <w:next w:val="Normal"/>
    <w:link w:val="Heading1Char"/>
    <w:uiPriority w:val="9"/>
    <w:qFormat/>
    <w:pPr>
      <w:keepNext w:val="true"/>
      <w:keepLines/>
      <w:spacing w:before="240" w:after="120"/>
      <w:outlineLvl w:val="0"/>
    </w:pPr>
    <w:rPr>
      <w:rFonts w:ascii="Calibri" w:hAnsi="Calibri" w:eastAsia="ＭＳ ゴシック" w:cs="" w:asciiTheme="majorHAnsi" w:cstheme="majorBidi" w:eastAsiaTheme="majorEastAsia" w:hAnsiTheme="majorHAnsi"/>
      <w:b/>
      <w:bCs/>
      <w:color w:themeColor="accent1" w:themeShade="bf" w:val="365F91"/>
      <w:sz w:val="26"/>
      <w:szCs w:val="28"/>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Calibri" w:hAnsi="Calibri" w:eastAsia="ＭＳ ゴシック" w:cs="" w:asciiTheme="majorHAnsi" w:cstheme="majorBidi" w:eastAsiaTheme="majorEastAsia" w:hAnsiTheme="majorHAnsi"/>
      <w:b/>
      <w:bCs/>
      <w:color w:themeColor="accent1" w:val="4F81BD"/>
      <w:sz w:val="23"/>
      <w:szCs w:val="26"/>
    </w:rPr>
  </w:style>
  <w:style w:type="paragraph" w:styleId="Heading3">
    <w:name w:val="heading 3"/>
    <w:basedOn w:val="Normal"/>
    <w:next w:val="Normal"/>
    <w:link w:val="Heading3Char"/>
    <w:uiPriority w:val="9"/>
    <w:unhideWhenUsed/>
    <w:qFormat/>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80" w:val="244061"/>
    </w:rPr>
  </w:style>
  <w:style w:type="paragraph" w:styleId="Heading6">
    <w:name w:val="heading 6"/>
    <w:basedOn w:val="Normal"/>
    <w:next w:val="Normal"/>
    <w:link w:val="Heading6Char"/>
    <w:uiPriority w:val="9"/>
    <w:semiHidden/>
    <w:unhideWhenUsed/>
    <w:qFormat/>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80" w:val="244061"/>
    </w:rPr>
  </w:style>
  <w:style w:type="paragraph" w:styleId="Heading7">
    <w:name w:val="heading 7"/>
    <w:basedOn w:val="Normal"/>
    <w:next w:val="Normal"/>
    <w:link w:val="Heading7Char"/>
    <w:uiPriority w:val="9"/>
    <w:semiHidden/>
    <w:unhideWhenUsed/>
    <w:qFormat/>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Pr>
      <w:i/>
      <w:iCs/>
    </w:rPr>
  </w:style>
  <w:style w:type="character" w:styleId="FootnoteCharacters">
    <w:name w:val="Footnote Characters"/>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PageNumber">
    <w:name w:val="page number"/>
    <w:basedOn w:val="DefaultParagraphFont"/>
    <w:uiPriority w:val="99"/>
    <w:semiHidden/>
    <w:unhideWhenUsed/>
    <w:rPr/>
  </w:style>
  <w:style w:type="character" w:styleId="Strong">
    <w:name w:val="Strong"/>
    <w:basedOn w:val="DefaultParagraphFont"/>
    <w:uiPriority w:val="22"/>
    <w:qFormat/>
    <w:rPr>
      <w:b/>
      <w:bCs/>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Heading1Char" w:customStyle="1">
    <w:name w:val="Heading 1 Char"/>
    <w:basedOn w:val="DefaultParagraphFont"/>
    <w:link w:val="Heading1"/>
    <w:uiPriority w:val="9"/>
    <w:qFormat/>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Pr/>
  </w:style>
  <w:style w:type="character" w:styleId="BodyText2Char" w:customStyle="1">
    <w:name w:val="Body Text 2 Char"/>
    <w:basedOn w:val="DefaultParagraphFont"/>
    <w:link w:val="BodyText2"/>
    <w:uiPriority w:val="99"/>
    <w:qFormat/>
    <w:rPr/>
  </w:style>
  <w:style w:type="character" w:styleId="BodyText3Char" w:customStyle="1">
    <w:name w:val="Body Text 3 Char"/>
    <w:basedOn w:val="DefaultParagraphFont"/>
    <w:link w:val="BodyText3"/>
    <w:uiPriority w:val="99"/>
    <w:qFormat/>
    <w:rPr>
      <w:sz w:val="16"/>
      <w:szCs w:val="16"/>
    </w:rPr>
  </w:style>
  <w:style w:type="character" w:styleId="MacroTextChar" w:customStyle="1">
    <w:name w:val="Macro Text Char"/>
    <w:basedOn w:val="DefaultParagraphFont"/>
    <w:link w:val="MacroText"/>
    <w:uiPriority w:val="99"/>
    <w:qFormat/>
    <w:rPr>
      <w:rFonts w:ascii="Courier" w:hAnsi="Courier"/>
      <w:sz w:val="20"/>
      <w:szCs w:val="20"/>
    </w:rPr>
  </w:style>
  <w:style w:type="character" w:styleId="QuoteChar" w:customStyle="1">
    <w:name w:val="Quote Char"/>
    <w:basedOn w:val="DefaultParagraphFont"/>
    <w:link w:val="Quote"/>
    <w:uiPriority w:val="29"/>
    <w:qFormat/>
    <w:rPr>
      <w:i/>
      <w:iCs/>
      <w:color w:themeColor="text1" w:val="000000"/>
    </w:rPr>
  </w:style>
  <w:style w:type="character" w:styleId="Heading4Char" w:customStyle="1">
    <w:name w:val="Heading 4 Char"/>
    <w:basedOn w:val="DefaultParagraphFont"/>
    <w:link w:val="Heading4"/>
    <w:uiPriority w:val="9"/>
    <w:semiHidden/>
    <w:qFormat/>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Pr>
      <w:rFonts w:ascii="Calibri" w:hAnsi="Calibri" w:eastAsia="ＭＳ ゴシック" w:cs="" w:asciiTheme="majorHAnsi" w:cstheme="majorBidi" w:eastAsiaTheme="majorEastAsia" w:hAnsiTheme="majorHAnsi"/>
      <w:color w:themeColor="accent1" w:themeShade="80" w:val="244061"/>
    </w:rPr>
  </w:style>
  <w:style w:type="character" w:styleId="Heading6Char" w:customStyle="1">
    <w:name w:val="Heading 6 Char"/>
    <w:basedOn w:val="DefaultParagraphFont"/>
    <w:link w:val="Heading6"/>
    <w:uiPriority w:val="9"/>
    <w:semiHidden/>
    <w:qFormat/>
    <w:rPr>
      <w:rFonts w:ascii="Calibri" w:hAnsi="Calibri" w:eastAsia="ＭＳ ゴシック" w:cs="" w:asciiTheme="majorHAnsi" w:cstheme="majorBidi" w:eastAsiaTheme="majorEastAsia" w:hAnsiTheme="majorHAnsi"/>
      <w:i/>
      <w:iCs/>
      <w:color w:themeColor="accent1" w:themeShade="80" w:val="244061"/>
    </w:rPr>
  </w:style>
  <w:style w:type="character" w:styleId="Heading7Char" w:customStyle="1">
    <w:name w:val="Heading 7 Char"/>
    <w:basedOn w:val="DefaultParagraphFont"/>
    <w:link w:val="Heading7"/>
    <w:uiPriority w:val="9"/>
    <w:semiHidden/>
    <w:qFormat/>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IntenseQuoteChar" w:customStyle="1">
    <w:name w:val="Intense Quote Char"/>
    <w:basedOn w:val="DefaultParagraphFont"/>
    <w:link w:val="IntenseQuote"/>
    <w:uiPriority w:val="30"/>
    <w:qFormat/>
    <w:rPr>
      <w:b/>
      <w:bCs/>
      <w:i/>
      <w:iCs/>
      <w:color w:themeColor="accent1" w:val="4F81BD"/>
    </w:rPr>
  </w:style>
  <w:style w:type="character" w:styleId="SubtleEmphasis1" w:customStyle="1">
    <w:name w:val="Subtle Emphasis1"/>
    <w:basedOn w:val="DefaultParagraphFont"/>
    <w:uiPriority w:val="19"/>
    <w:qFormat/>
    <w:rPr>
      <w:i/>
      <w:iCs/>
      <w:color w:themeColor="text1" w:themeTint="80" w:val="7F7F7F"/>
    </w:rPr>
  </w:style>
  <w:style w:type="character" w:styleId="IntenseEmphasis1" w:customStyle="1">
    <w:name w:val="Intense Emphasis1"/>
    <w:basedOn w:val="DefaultParagraphFont"/>
    <w:uiPriority w:val="21"/>
    <w:qFormat/>
    <w:rPr>
      <w:b/>
      <w:bCs/>
      <w:i/>
      <w:iCs/>
      <w:color w:themeColor="accent1" w:val="4F81BD"/>
    </w:rPr>
  </w:style>
  <w:style w:type="character" w:styleId="SubtleReference1" w:customStyle="1">
    <w:name w:val="Subtle Reference1"/>
    <w:basedOn w:val="DefaultParagraphFont"/>
    <w:uiPriority w:val="31"/>
    <w:qFormat/>
    <w:rPr>
      <w:smallCaps/>
      <w:color w:themeColor="accent2" w:val="C0504D"/>
      <w:u w:val="single"/>
    </w:rPr>
  </w:style>
  <w:style w:type="character" w:styleId="IntenseReference1" w:customStyle="1">
    <w:name w:val="Intense Reference1"/>
    <w:basedOn w:val="DefaultParagraphFont"/>
    <w:uiPriority w:val="32"/>
    <w:qFormat/>
    <w:rPr>
      <w:b/>
      <w:bCs/>
      <w:smallCaps/>
      <w:color w:themeColor="accent2" w:val="C0504D"/>
      <w:spacing w:val="5"/>
      <w:u w:val="single"/>
    </w:rPr>
  </w:style>
  <w:style w:type="character" w:styleId="BookTitle1" w:customStyle="1">
    <w:name w:val="Book Title1"/>
    <w:basedOn w:val="DefaultParagraphFont"/>
    <w:uiPriority w:val="33"/>
    <w:qFormat/>
    <w:rPr>
      <w:b/>
      <w:bCs/>
      <w:smallCaps/>
      <w:spacing w:val="5"/>
    </w:rPr>
  </w:style>
  <w:style w:type="character" w:styleId="FootnoteTextChar" w:customStyle="1">
    <w:name w:val="Footnote Text Char"/>
    <w:basedOn w:val="DefaultParagraphFont"/>
    <w:link w:val="FootnoteText"/>
    <w:uiPriority w:val="99"/>
    <w:semiHidden/>
    <w:qFormat/>
    <w:rPr>
      <w:rFonts w:ascii="Arial" w:hAnsi="Arial" w:eastAsia="Arial"/>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uiPriority w:val="99"/>
    <w:unhideWhenUsed/>
    <w:qFormat/>
    <w:pPr>
      <w:spacing w:before="0" w:after="120"/>
    </w:pPr>
    <w:rPr/>
  </w:style>
  <w:style w:type="paragraph" w:styleId="List">
    <w:name w:val="List"/>
    <w:basedOn w:val="Normal"/>
    <w:uiPriority w:val="99"/>
    <w:unhideWhenUsed/>
    <w:qFormat/>
    <w:pPr>
      <w:spacing w:before="0" w:after="60"/>
      <w:ind w:hanging="360" w:left="360"/>
      <w:contextualSpacing/>
    </w:pPr>
    <w:rPr/>
  </w:style>
  <w:style w:type="paragraph" w:styleId="Caption">
    <w:name w:val="caption"/>
    <w:basedOn w:val="Normal"/>
    <w:next w:val="Normal"/>
    <w:uiPriority w:val="35"/>
    <w:semiHidden/>
    <w:unhideWhenUsed/>
    <w:qFormat/>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BodyText2">
    <w:name w:val="Body Text 2"/>
    <w:basedOn w:val="Normal"/>
    <w:link w:val="BodyText2Char"/>
    <w:uiPriority w:val="99"/>
    <w:unhideWhenUsed/>
    <w:qFormat/>
    <w:pPr>
      <w:spacing w:lineRule="auto" w:line="480" w:before="0" w:after="120"/>
    </w:pPr>
    <w:rPr/>
  </w:style>
  <w:style w:type="paragraph" w:styleId="BodyText3">
    <w:name w:val="Body Text 3"/>
    <w:basedOn w:val="Normal"/>
    <w:link w:val="BodyText3Char"/>
    <w:uiPriority w:val="99"/>
    <w:unhideWhenUsed/>
    <w:qFormat/>
    <w:pPr>
      <w:spacing w:before="0" w:after="120"/>
    </w:pPr>
    <w:rPr>
      <w:sz w:val="16"/>
      <w:szCs w:val="16"/>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spacing w:lineRule="auto" w:line="240" w:before="0" w:after="0"/>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Header">
    <w:name w:val="header"/>
    <w:basedOn w:val="Normal"/>
    <w:link w:val="HeaderChar"/>
    <w:uiPriority w:val="99"/>
    <w:unhideWhenUsed/>
    <w:qFormat/>
    <w:pPr>
      <w:tabs>
        <w:tab w:val="clear" w:pos="720"/>
        <w:tab w:val="center" w:pos="4680" w:leader="none"/>
        <w:tab w:val="right" w:pos="9360" w:leader="none"/>
      </w:tabs>
      <w:spacing w:lineRule="auto" w:line="240" w:before="0" w:after="0"/>
    </w:pPr>
    <w:rPr/>
  </w:style>
  <w:style w:type="paragraph" w:styleId="List2">
    <w:name w:val="List 2"/>
    <w:basedOn w:val="Normal"/>
    <w:uiPriority w:val="99"/>
    <w:unhideWhenUsed/>
    <w:qFormat/>
    <w:pPr>
      <w:spacing w:before="0" w:after="60"/>
      <w:ind w:hanging="360" w:left="720"/>
      <w:contextualSpacing/>
    </w:pPr>
    <w:rPr/>
  </w:style>
  <w:style w:type="paragraph" w:styleId="List3">
    <w:name w:val="List 3"/>
    <w:basedOn w:val="Normal"/>
    <w:uiPriority w:val="99"/>
    <w:unhideWhenUsed/>
    <w:qFormat/>
    <w:pPr>
      <w:spacing w:before="0" w:after="60"/>
      <w:ind w:hanging="360" w:left="1080"/>
      <w:contextualSpacing/>
    </w:pPr>
    <w:rPr/>
  </w:style>
  <w:style w:type="paragraph" w:styleId="ListBullet">
    <w:name w:val="List Bullet"/>
    <w:basedOn w:val="Normal"/>
    <w:uiPriority w:val="99"/>
    <w:unhideWhenUsed/>
    <w:qFormat/>
    <w:pPr>
      <w:numPr>
        <w:ilvl w:val="0"/>
        <w:numId w:val="1"/>
      </w:numPr>
      <w:spacing w:before="0" w:after="60"/>
      <w:contextualSpacing/>
    </w:pPr>
    <w:rPr/>
  </w:style>
  <w:style w:type="paragraph" w:styleId="ListBullet2">
    <w:name w:val="List Bullet 2"/>
    <w:basedOn w:val="Normal"/>
    <w:uiPriority w:val="99"/>
    <w:unhideWhenUsed/>
    <w:qFormat/>
    <w:pPr>
      <w:numPr>
        <w:ilvl w:val="0"/>
        <w:numId w:val="2"/>
      </w:numPr>
      <w:spacing w:before="0" w:after="60"/>
      <w:contextualSpacing/>
    </w:pPr>
    <w:rPr/>
  </w:style>
  <w:style w:type="paragraph" w:styleId="ListBullet3">
    <w:name w:val="List Bullet 3"/>
    <w:basedOn w:val="Normal"/>
    <w:uiPriority w:val="99"/>
    <w:unhideWhenUsed/>
    <w:qFormat/>
    <w:pPr>
      <w:numPr>
        <w:ilvl w:val="0"/>
        <w:numId w:val="3"/>
      </w:numPr>
      <w:spacing w:before="0" w:after="60"/>
      <w:contextualSpacing/>
    </w:pPr>
    <w:rPr/>
  </w:style>
  <w:style w:type="paragraph" w:styleId="ListContinue">
    <w:name w:val="List Continue"/>
    <w:basedOn w:val="Normal"/>
    <w:uiPriority w:val="99"/>
    <w:unhideWhenUsed/>
    <w:qFormat/>
    <w:pPr>
      <w:spacing w:before="0" w:after="120"/>
      <w:ind w:left="360"/>
      <w:contextualSpacing/>
    </w:pPr>
    <w:rPr/>
  </w:style>
  <w:style w:type="paragraph" w:styleId="ListContinue2">
    <w:name w:val="List Continue 2"/>
    <w:basedOn w:val="Normal"/>
    <w:uiPriority w:val="99"/>
    <w:unhideWhenUsed/>
    <w:qFormat/>
    <w:pPr>
      <w:spacing w:before="0" w:after="120"/>
      <w:ind w:left="720"/>
      <w:contextualSpacing/>
    </w:pPr>
    <w:rPr/>
  </w:style>
  <w:style w:type="paragraph" w:styleId="ListContinue3">
    <w:name w:val="List Continue 3"/>
    <w:basedOn w:val="Normal"/>
    <w:uiPriority w:val="99"/>
    <w:unhideWhenUsed/>
    <w:qFormat/>
    <w:pPr>
      <w:spacing w:before="0" w:after="120"/>
      <w:ind w:left="1080"/>
      <w:contextualSpacing/>
    </w:pPr>
    <w:rPr/>
  </w:style>
  <w:style w:type="paragraph" w:styleId="ListNumber">
    <w:name w:val="List Number"/>
    <w:basedOn w:val="Normal"/>
    <w:uiPriority w:val="99"/>
    <w:unhideWhenUsed/>
    <w:qFormat/>
    <w:pPr>
      <w:numPr>
        <w:ilvl w:val="0"/>
        <w:numId w:val="4"/>
      </w:numPr>
      <w:spacing w:before="0" w:after="60"/>
      <w:contextualSpacing/>
    </w:pPr>
    <w:rPr/>
  </w:style>
  <w:style w:type="paragraph" w:styleId="ListNumber2">
    <w:name w:val="List Number 2"/>
    <w:basedOn w:val="Normal"/>
    <w:uiPriority w:val="99"/>
    <w:unhideWhenUsed/>
    <w:qFormat/>
    <w:pPr>
      <w:numPr>
        <w:ilvl w:val="0"/>
        <w:numId w:val="5"/>
      </w:numPr>
      <w:spacing w:before="0" w:after="60"/>
      <w:contextualSpacing/>
    </w:pPr>
    <w:rPr/>
  </w:style>
  <w:style w:type="paragraph" w:styleId="ListNumber3">
    <w:name w:val="List Number 3"/>
    <w:basedOn w:val="Normal"/>
    <w:uiPriority w:val="99"/>
    <w:unhideWhenUsed/>
    <w:qFormat/>
    <w:pPr>
      <w:numPr>
        <w:ilvl w:val="0"/>
        <w:numId w:val="6"/>
      </w:numPr>
      <w:spacing w:before="0" w:after="60"/>
      <w:contextualSpacing/>
    </w:pPr>
    <w:rPr/>
  </w:style>
  <w:style w:type="paragraph" w:styleId="MacroText">
    <w:name w:val="macro"/>
    <w:link w:val="MacroTextChar"/>
    <w:uiPriority w:val="99"/>
    <w:unhideWhenUsed/>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Subtitle">
    <w:name w:val="Subtitle"/>
    <w:basedOn w:val="Normal"/>
    <w:next w:val="Normal"/>
    <w:link w:val="SubtitleChar"/>
    <w:uiPriority w:val="11"/>
    <w:qFormat/>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themeColor="text2" w:themeShade="bf" w:val="17365D"/>
      <w:spacing w:val="5"/>
      <w:kern w:val="2"/>
      <w:sz w:val="32"/>
      <w:szCs w:val="52"/>
    </w:rPr>
  </w:style>
  <w:style w:type="paragraph" w:styleId="NoSpacing">
    <w:name w:val="No Spacing"/>
    <w:uiPriority w:val="1"/>
    <w:qFormat/>
    <w:pPr>
      <w:widowControl/>
      <w:bidi w:val="0"/>
      <w:spacing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ListParagraph">
    <w:name w:val="List Paragraph"/>
    <w:basedOn w:val="Normal"/>
    <w:uiPriority w:val="34"/>
    <w:qFormat/>
    <w:pPr>
      <w:spacing w:before="0" w:after="60"/>
      <w:ind w:left="720"/>
      <w:contextualSpacing/>
    </w:pPr>
    <w:rPr/>
  </w:style>
  <w:style w:type="paragraph" w:styleId="Quote">
    <w:name w:val="Quote"/>
    <w:basedOn w:val="Normal"/>
    <w:next w:val="Normal"/>
    <w:link w:val="QuoteChar"/>
    <w:uiPriority w:val="29"/>
    <w:qFormat/>
    <w:pPr/>
    <w:rPr>
      <w:i/>
      <w:iCs/>
      <w:color w:themeColor="text1" w:val="00000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themeColor="accent1" w:val="4F81BD"/>
    </w:rPr>
  </w:style>
  <w:style w:type="paragraph" w:styleId="TOCHeading1" w:customStyle="1">
    <w:name w:val="TOC Heading1"/>
    <w:basedOn w:val="Heading1"/>
    <w:next w:val="Normal"/>
    <w:uiPriority w:val="39"/>
    <w:semiHidden/>
    <w:unhideWhenUsed/>
    <w:qFormat/>
    <w:pPr>
      <w:outlineLvl w:val="9"/>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qFormat/>
    <w:rPr>
      <w:color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auto"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auto" w:sz="8" w:space="0"/>
        </w:tcBorders>
      </w:tcPr>
    </w:tblStylePr>
  </w:style>
  <w:style w:type="table" w:styleId="LightGrid-Accent1">
    <w:name w:val="Light Grid Accent 1"/>
    <w:basedOn w:val="TableNormal"/>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auto"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auto" w:sz="8" w:space="0"/>
        </w:tcBorders>
      </w:tcPr>
    </w:tblStylePr>
  </w:style>
  <w:style w:type="table" w:styleId="LightGrid-Accent2">
    <w:name w:val="Light Grid Accent 2"/>
    <w:basedOn w:val="TableNormal"/>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auto"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auto" w:sz="8" w:space="0"/>
        </w:tcBorders>
      </w:tcPr>
    </w:tblStylePr>
  </w:style>
  <w:style w:type="table" w:styleId="LightGrid-Accent3">
    <w:name w:val="Light Grid Accent 3"/>
    <w:basedOn w:val="TableNormal"/>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auto"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auto" w:sz="8" w:space="0"/>
        </w:tcBorders>
      </w:tcPr>
    </w:tblStylePr>
  </w:style>
  <w:style w:type="table" w:styleId="LightGrid-Accent4">
    <w:name w:val="Light Grid Accent 4"/>
    <w:basedOn w:val="TableNormal"/>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auto"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auto" w:sz="8" w:space="0"/>
        </w:tcBorders>
      </w:tcPr>
    </w:tblStylePr>
  </w:style>
  <w:style w:type="table" w:styleId="LightGrid-Accent5">
    <w:name w:val="Light Grid Accent 5"/>
    <w:basedOn w:val="TableNormal"/>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auto"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auto" w:sz="8" w:space="0"/>
        </w:tcBorders>
      </w:tcPr>
    </w:tblStylePr>
  </w:style>
  <w:style w:type="table" w:styleId="LightGrid-Accent6">
    <w:name w:val="Light Grid Accent 6"/>
    <w:basedOn w:val="TableNormal"/>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auto"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auto"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auto"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auto" w:sz="8" w:space="0"/>
        </w:tcBorders>
      </w:tcPr>
    </w:tblStylePr>
  </w:style>
  <w:style w:type="table" w:styleId="MediumShading1">
    <w:name w:val="Medium Shading 1"/>
    <w:basedOn w:val="TableNormal"/>
    <w:uiPriority w:val="63"/>
    <w:tblP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tblPr>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Pr>
      <w:color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themeColor="text1"/>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themeColor="text1"/>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themeColor="text1"/>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themeColor="text1"/>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themeColor="text1"/>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hAnsiTheme="majorHAnsi" w:eastAsiaTheme="majorEastAsia" w:cstheme="majorBidi"/>
      <w:color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hAnsiTheme="majorHAnsi" w:eastAsiaTheme="majorEastAsia" w:cstheme="majorBidi"/>
      <w:color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hAnsiTheme="majorHAnsi" w:eastAsiaTheme="majorEastAsia" w:cstheme="majorBidi"/>
      <w:color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hAnsiTheme="majorHAnsi" w:eastAsiaTheme="majorEastAsia" w:cstheme="majorBidi"/>
      <w:color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hAnsiTheme="majorHAnsi" w:eastAsiaTheme="majorEastAsia" w:cstheme="majorBidi"/>
      <w:color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hAnsiTheme="majorHAnsi" w:eastAsiaTheme="majorEastAsia" w:cstheme="majorBidi"/>
      <w:color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hAnsiTheme="majorHAnsi" w:eastAsiaTheme="majorEastAsia" w:cstheme="majorBidi"/>
      <w:color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hAnsiTheme="majorHAnsi" w:eastAsiaTheme="majorEastAsia" w:cstheme="majorBidi"/>
      <w:color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auto" w:sz="6" w:space="0"/>
          <w:insideV w:val="single" w:color="auto"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hAnsiTheme="majorHAnsi" w:eastAsiaTheme="majorEastAsia" w:cstheme="majorBidi"/>
      <w:color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auto" w:sz="6" w:space="0"/>
          <w:insideV w:val="single" w:color="auto"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hAnsiTheme="majorHAnsi" w:eastAsiaTheme="majorEastAsia" w:cstheme="majorBidi"/>
      <w:color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auto" w:sz="6" w:space="0"/>
          <w:insideV w:val="single" w:color="auto"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hAnsiTheme="majorHAnsi" w:eastAsiaTheme="majorEastAsia" w:cstheme="majorBidi"/>
      <w:color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auto" w:sz="6" w:space="0"/>
          <w:insideV w:val="single" w:color="auto"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hAnsiTheme="majorHAnsi" w:eastAsiaTheme="majorEastAsia" w:cstheme="majorBidi"/>
      <w:color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auto" w:sz="6" w:space="0"/>
          <w:insideV w:val="single" w:color="auto"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hAnsiTheme="majorHAnsi" w:eastAsiaTheme="majorEastAsia" w:cstheme="majorBidi"/>
      <w:color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auto" w:sz="6" w:space="0"/>
          <w:insideV w:val="single" w:color="auto"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hAnsiTheme="majorHAnsi" w:eastAsiaTheme="majorEastAsia" w:cstheme="majorBidi"/>
      <w:color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auto" w:sz="6" w:space="0"/>
          <w:insideV w:val="single" w:color="auto"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808080" w:themeFill="text1" w:themeFillTint="7f"/>
      </w:tcPr>
    </w:tblStylePr>
  </w:style>
  <w:style w:type="table" w:styleId="MediumGrid3-Accent1">
    <w:name w:val="Medium Grid 3 Accent 1"/>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A7BFDE" w:themeFill="accent1" w:themeFillTint="7f"/>
      </w:tcPr>
    </w:tblStylePr>
  </w:style>
  <w:style w:type="table" w:styleId="MediumGrid3-Accent2">
    <w:name w:val="Medium Grid 3 Accent 2"/>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DFA7A6" w:themeFill="accent2" w:themeFillTint="7f"/>
      </w:tcPr>
    </w:tblStylePr>
  </w:style>
  <w:style w:type="table" w:styleId="MediumGrid3-Accent3">
    <w:name w:val="Medium Grid 3 Accent 3"/>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CDDDAC" w:themeFill="accent3" w:themeFillTint="7f"/>
      </w:tcPr>
    </w:tblStylePr>
  </w:style>
  <w:style w:type="table" w:styleId="MediumGrid3-Accent4">
    <w:name w:val="Medium Grid 3 Accent 4"/>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BFB1D0" w:themeFill="accent4" w:themeFillTint="7f"/>
      </w:tcPr>
    </w:tblStylePr>
  </w:style>
  <w:style w:type="table" w:styleId="MediumGrid3-Accent5">
    <w:name w:val="Medium Grid 3 Accent 5"/>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A5D5E2" w:themeFill="accent5" w:themeFillTint="7f"/>
      </w:tcPr>
    </w:tblStylePr>
  </w:style>
  <w:style w:type="table" w:styleId="MediumGrid3-Accent6">
    <w:name w:val="Medium Grid 3 Accent 6"/>
    <w:basedOn w:val="TableNormal"/>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auto"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auto"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auto" w:sz="8" w:space="0"/>
          <w:insideV w:val="single" w:color="auto" w:sz="8" w:space="0"/>
        </w:tcBorders>
        <w:shd w:val="clear" w:color="auto" w:fill="FBCAA2" w:themeFill="accent6" w:themeFillTint="7f"/>
      </w:tcPr>
    </w:tblStylePr>
  </w:style>
  <w:style w:type="table" w:styleId="DarkList">
    <w:name w:val="Dark List"/>
    <w:basedOn w:val="TableNormal"/>
    <w:uiPriority w:val="70"/>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Pr>
      <w:color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Pr>
      <w:color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Pr>
      <w:color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Pr>
      <w:color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Pr>
      <w:color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auto"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themeColor="text1"/>
    </w:rPr>
    <w:tblPr>
      <w:tblStyleRowBandSize w:val="1"/>
      <w:tblStyleColBandSize w:val="1"/>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themeColor="text1"/>
    </w:rPr>
    <w:tblPr>
      <w:tblStyleRowBandSize w:val="1"/>
      <w:tblStyleColBandSize w:val="1"/>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themeColor="text1"/>
    </w:rPr>
    <w:tblPr>
      <w:tblStyleRowBandSize w:val="1"/>
      <w:tblStyleColBandSize w:val="1"/>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themeColor="text1"/>
    </w:rPr>
    <w:tblPr>
      <w:tblStyleRowBandSize w:val="1"/>
      <w:tblStyleColBandSize w:val="1"/>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themeColor="text1"/>
    </w:rPr>
    <w:tblPr>
      <w:tblStyleRowBandSize w:val="1"/>
      <w:tblStyleColBandSize w:val="1"/>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themeColor="text1"/>
    </w:rPr>
    <w:tblPr>
      <w:tblStyleRowBandSize w:val="1"/>
      <w:tblStyleColBandSize w:val="1"/>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themeColor="text1"/>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themeColor="text1"/>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themeColor="text1"/>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themeColor="text1"/>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themeColor="text1"/>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themeColor="text1"/>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LibreOffice/25.2.7.2$Windows_X86_64 LibreOffice_project/5cbfd1ab6520636bb5f7b99185aa69bd7456825d</Application>
  <AppVersion>15.0000</AppVersion>
  <Pages>15</Pages>
  <Words>5612</Words>
  <Characters>35036</Characters>
  <CharactersWithSpaces>40275</CharactersWithSpaces>
  <Paragraphs>369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2026-08-04T14:43:00Z</dcterms:created>
  <dc:creator>Fătu Livică</dc:creator>
  <dc:description>Model Regulament filială</dc:description>
  <dc:language>en-US</dc:language>
  <cp:lastModifiedBy/>
  <dcterms:modified xsi:type="dcterms:W3CDTF">2026-09-17T18:27:52Z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3BF80358DD4D4792BF5C2A088069BAF4_12</vt:lpwstr>
  </property>
  <property fmtid="{D5CDD505-2E9C-101B-9397-08002B2CF9AE}" pid="3" name="KSOProductBuildVer">
    <vt:lpwstr>1033-12.1.0.28485</vt:lpwstr>
  </property>
  <property fmtid="{D5CDD505-2E9C-101B-9397-08002B2CF9AE}" pid="4" name="KSOTemplateDocerSaveRecord">
    <vt:lpwstr>eyJoZGlkIjoiYmE0NTM5Njk4ZGExNDI4MTUxYTYxYjA5YjVmNWRjNmUiLCJ1c2VySWQiOiIzNzI4MTcxMDc0Nzk1In0=</vt:lpwstr>
  </property>
</Properties>
</file>